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燃气采暖热水炉</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 xml:space="preserve"> 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燃气采暖热水炉又称为“燃气壁挂炉”，以下简称采暖炉，为依靠天然气来提供热水和供暖热量的双功能器具。燃气采暖热水炉现在知名的品牌比较多，如国外的德国博世、德国威能、意大利贝雷塔、意大利斯密、意大利八喜等，国内比较知名品牌有海尔、万和、美的等。</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采暖炉在我国发展较快。2017年中国燃气采暖热水炉生产量高达497.7万台，比</w:t>
      </w:r>
      <w:r>
        <w:rPr>
          <w:rFonts w:hint="eastAsia" w:ascii="仿宋" w:hAnsi="仿宋" w:eastAsia="仿宋" w:cs="仿宋"/>
          <w:sz w:val="28"/>
          <w:szCs w:val="28"/>
          <w:lang w:val="en-US" w:eastAsia="zh-CN"/>
        </w:rPr>
        <w:t>2016</w:t>
      </w:r>
      <w:r>
        <w:rPr>
          <w:rFonts w:hint="eastAsia" w:ascii="仿宋" w:hAnsi="仿宋" w:eastAsia="仿宋" w:cs="仿宋"/>
          <w:sz w:val="28"/>
          <w:szCs w:val="28"/>
          <w:lang w:eastAsia="zh-CN"/>
        </w:rPr>
        <w:t>年增加322.7万台，增长率高达184.40%</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2018年中国燃气采暖热水炉产量减少，产量为275万台，比上年减少222.7万台，同比下降44.75%。2019年中国燃气采暖热水炉产量362万台，比上年增加87万台，同比增长31.64%。</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2018年中国气采暖热水炉总销量320万台，其中国产品牌国内销量214万台，占比为66.88%:进口品牌在国内生产的销量 42万台，占比为13.13%;原装进口品牌销量64万台，占比为 20.00%。2019年中国气采暖热水炉总销量402万台，其中:国产品牌国内销量285.7万台，占比为71.07%;进口品牌在国内生产的销量58.3万台，占比为14.50%;原装进口品牌销量58万台，占比为 14.43%。</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根据统计数据，近几年采暖炉产销和进出口情况为：</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2021年：</w:t>
      </w:r>
      <w:r>
        <w:rPr>
          <w:rFonts w:hint="eastAsia" w:ascii="仿宋" w:hAnsi="仿宋" w:eastAsia="仿宋" w:cs="仿宋"/>
          <w:sz w:val="28"/>
          <w:szCs w:val="28"/>
          <w:lang w:eastAsia="zh-CN"/>
        </w:rPr>
        <w:t>2021年中国燃气采暖热水炉全年总销量为310万台,相较于2019年和2020年降幅均超过20%，市场整体水平与2018年相近。其中，国产品牌销量为165万台，占全年总销量的53%;进口品牌销量为145万台，占全年总销量的47%。进口品牌销量逐年增长，市场占比已接近国内燃气采暖热水炉市场的半壁江山。根据统计数据，2021年我国燃气采暖热水炉全年出口量为36万台，相比2019年增幅100%，相比2020年增幅71%；全年进口量为43万台，相比2019年降幅26%，较2020年小幅增长1%。</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2022年：</w:t>
      </w:r>
      <w:r>
        <w:rPr>
          <w:rFonts w:hint="eastAsia" w:ascii="仿宋" w:hAnsi="仿宋" w:eastAsia="仿宋" w:cs="仿宋"/>
          <w:sz w:val="28"/>
          <w:szCs w:val="28"/>
          <w:lang w:eastAsia="zh-CN"/>
        </w:rPr>
        <w:t>2022年中国燃气采暖热水炉全年总销量为255万台，相较于2021年降幅7.7%，创近5年市场最低销量。其中，国产品牌销量为126万台，占全年总销量的49.4%；进口品牌销量为129万台，占全年总销量的50.6%，进口品牌销量占比首次超越国产品牌销量；2022年我国燃气采暖热水炉全年出口量为42万台，相比2021年增幅16.7%；全年进口量为36万台，相比2021年降幅16.3%；燃气采暖热水炉出口持续增长，进口逐年下降。</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2023年：</w:t>
      </w:r>
      <w:r>
        <w:rPr>
          <w:rFonts w:hint="eastAsia" w:ascii="仿宋" w:hAnsi="仿宋" w:eastAsia="仿宋" w:cs="仿宋"/>
          <w:sz w:val="28"/>
          <w:szCs w:val="28"/>
          <w:lang w:eastAsia="zh-CN"/>
        </w:rPr>
        <w:t>2023年我国燃气采暖热水炉市场全年总销量为237万台，相较于2022年降幅7.1%，市场销量继续走低。其中，国产品牌销量为93万台，占全年总销量的39%；进口品牌销量为144万台，占全年总销量的61%，进口品牌销量占比提升超10个百分点。2023年我国燃气采暖热水炉全年出口量为63万台，相比2022年增幅50.0%；全年进口量为28万台，相比2022年降幅22.2%。因俄罗斯、中亚等地市场需求增长，全年出口量大幅提升；随着进口品牌在中国建厂生产，进口逐年下降。</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总之，近几年受国内外经济环境影响，采暖炉的产销量有一定的下降和出口量保持增长趋势，但增长幅度收窄。这些就需要加强采暖炉的品牌建设，提升产品质量业促进采暖炉行业的发展，需要具有高质量标准作为此支撑。</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采暖炉技术发展上看，近年来政府不断加强对环境的保护，对污染物排放的要求日益严格，因此对燃气采暖热水炉的能源消耗和烟气排放等环保指标提出了更高要求。在欧美发达国家，燃气采暖热水炉的设计普遍采用全预混燃烧技术，而目前国内的燃气采暖热水炉大多采用部分预混燃烧的方式设计。</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低氮燃烧技术：采用低氮氧化物燃烧器，在燃料燃烧过程中产生较低NOx的燃烧器，采用低NOx燃烧器能够有效降低燃烧过程中的氮氧化物排放，能有效降低氮氧化物NOx的排放。</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 冷凝式换热燃烧技术： 冷凝式采暖炉能够回收的水蒸气凝结热的多少与燃料的种类（化学成分）和冷媒介质的温度高低有关。目前最典型的是应用于冷凝式采暖炉的硅铝材质的冷凝式换热器，其结构是将低温进水管置于高温烟气中，利用大量铜质翅片换热，尽可能吸收高温烟气中的汽化潜热，从而提高进水温度，进而提高采暖炉的热效率。</w:t>
      </w:r>
    </w:p>
    <w:p>
      <w:pPr>
        <w:spacing w:line="360" w:lineRule="auto"/>
        <w:ind w:firstLine="560" w:firstLineChars="200"/>
        <w:jc w:val="both"/>
        <w:rPr>
          <w:rFonts w:hint="eastAsia" w:ascii="仿宋" w:hAnsi="仿宋" w:eastAsia="宋体"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全预混燃烧技术：全预混式燃烧是一种高效、节能、环保的燃烧方式，通过降低燃烧中的一次空气系数a1（理论上1.05≤a1≤1.1），燃烧时的理论温度可达1800℃以上。全预混燃烧技术通过精确控制燃料和空气的比例，实现接近完全燃烧，从而减少污染物排放，也具有较高的安全性，通过优化燃烧过程提高了热效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2</w:t>
      </w:r>
      <w:r>
        <w:rPr>
          <w:rFonts w:hint="eastAsia" w:ascii="黑体" w:hAnsi="宋体" w:eastAsia="黑体" w:cs="黑体"/>
          <w:sz w:val="28"/>
          <w:szCs w:val="28"/>
          <w:lang w:eastAsia="zh-CN"/>
        </w:rPr>
        <w:t xml:space="preserve">  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 xml:space="preserve">通过打造佛山标准，树立优质区域品牌形象，有助于进一步做大做强产业。进一步提高采暖炉的产品质量，引导行业有序、健康发展，树立和提升区域品牌形象。团体标准的提升方向具体如下：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满足用户需求。随着产品品质的提高，用户不仅看重采暖炉的基础功能，还更关注采暖炉的质量稳定性、可靠性、安全性和体验性，本标准编制过程充分考虑了用户的需求及提出的意见和建议。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采暖炉产品应注重卫生安全和环保性，符合政策导向和要求。本标准对采暖炉产品的材料、结构和安全、热效率、CO含量、加热时间、噪声、干烟气中NOx排放限定值、表面温升、出热水最低温升、远程控制、热水最低温升、</w:t>
      </w:r>
      <w:r>
        <w:rPr>
          <w:rFonts w:hint="eastAsia" w:ascii="仿宋" w:hAnsi="仿宋" w:eastAsia="仿宋" w:cs="仿宋"/>
          <w:sz w:val="28"/>
          <w:szCs w:val="28"/>
          <w:lang w:val="en-US" w:eastAsia="zh-CN"/>
        </w:rPr>
        <w:t>气候环境适应性、</w:t>
      </w:r>
      <w:r>
        <w:rPr>
          <w:rFonts w:hint="eastAsia" w:ascii="仿宋" w:hAnsi="仿宋" w:eastAsia="仿宋" w:cs="仿宋"/>
          <w:sz w:val="28"/>
          <w:szCs w:val="28"/>
          <w:lang w:eastAsia="zh-CN"/>
        </w:rPr>
        <w:t>限用物质及GB 25034—2020《燃气采暖热水炉》规定的其他要求</w:t>
      </w:r>
      <w:r>
        <w:rPr>
          <w:rFonts w:hint="eastAsia" w:ascii="仿宋" w:hAnsi="仿宋" w:eastAsia="仿宋" w:cs="仿宋"/>
          <w:sz w:val="28"/>
          <w:szCs w:val="28"/>
          <w:lang w:eastAsia="zh-CN"/>
        </w:rPr>
        <w:t>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采暖炉属于较为成熟且又具有高技术含量和技术创新发展的产品，市场竞争激烈。为保证佛山地区采暖炉产品的竞争优势，更好地扩大影响力，抢占国内外市场份额，需要打造更高水平的标准，比现有国家、行业标准的要求更高，把中高端采暖炉做好做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3</w:t>
      </w:r>
      <w:r>
        <w:rPr>
          <w:rFonts w:hint="eastAsia" w:ascii="黑体" w:hAnsi="宋体" w:eastAsia="黑体" w:cs="黑体"/>
          <w:sz w:val="28"/>
          <w:szCs w:val="28"/>
          <w:lang w:eastAsia="zh-CN"/>
        </w:rPr>
        <w:t xml:space="preserve">  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采暖炉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hint="eastAsia" w:ascii="仿宋" w:hAnsi="仿宋" w:eastAsia="仿宋" w:cs="仿宋"/>
          <w:sz w:val="28"/>
          <w:szCs w:val="28"/>
          <w:lang w:eastAsia="zh-CN"/>
        </w:rPr>
      </w:pPr>
      <w:bookmarkStart w:id="0" w:name="_Hlk130890499"/>
      <w:bookmarkStart w:id="1"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广东万和热能科技有限公司、佛山市顺德区质量技术监督标准与编码所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bookmarkStart w:id="2" w:name="OLE_LINK1"/>
      <w:r>
        <w:rPr>
          <w:rFonts w:hint="eastAsia" w:ascii="仿宋" w:hAnsi="仿宋" w:eastAsia="仿宋" w:cs="仿宋"/>
          <w:sz w:val="28"/>
          <w:szCs w:val="28"/>
          <w:lang w:eastAsia="zh-CN"/>
        </w:rPr>
        <w:t>广东万和热能科技有限公司</w:t>
      </w:r>
      <w:bookmarkEnd w:id="2"/>
      <w:r>
        <w:rPr>
          <w:rFonts w:hint="eastAsia" w:ascii="仿宋" w:hAnsi="仿宋" w:eastAsia="仿宋" w:cs="仿宋"/>
          <w:sz w:val="28"/>
          <w:szCs w:val="28"/>
          <w:lang w:eastAsia="zh-CN"/>
        </w:rPr>
        <w:t>、广东美的制冷设备有限公司、佛山市顺德区质量技术监督标准与编码所主要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11</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12</w:t>
      </w:r>
      <w:r>
        <w:rPr>
          <w:rFonts w:hint="eastAsia" w:ascii="仿宋" w:hAnsi="仿宋" w:eastAsia="仿宋" w:cs="仿宋"/>
          <w:sz w:val="28"/>
          <w:szCs w:val="28"/>
          <w:lang w:eastAsia="zh-CN"/>
        </w:rPr>
        <w:t>月调研与前期准备阶段：完成行业调研和相关标准、用户痛点问题的收集整理，并组织到访广东万和热能科技有限公司及征询广东美的制冷设备有限公司的意见和建议；</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bookmarkStart w:id="3" w:name="OLE_LINK7"/>
      <w:r>
        <w:rPr>
          <w:rFonts w:hint="eastAsia" w:ascii="仿宋" w:hAnsi="仿宋" w:eastAsia="仿宋" w:cs="仿宋"/>
          <w:sz w:val="28"/>
          <w:szCs w:val="28"/>
          <w:lang w:eastAsia="zh-CN"/>
        </w:rPr>
        <w:t>～</w:t>
      </w:r>
      <w:bookmarkEnd w:id="3"/>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bookmarkStart w:id="4" w:name="OLE_LINK5"/>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bookmarkEnd w:id="4"/>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0"/>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月开始启动标准草案研制工作，结合前期准备工作成果，征求起草单位意见，充分考虑佛山标准的编制要求、编制理念和定位要求等，体现了标准的先进性。具体说明如下：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5" w:name="_Hlk130891623"/>
      <w:r>
        <w:rPr>
          <w:rFonts w:hint="eastAsia" w:ascii="仿宋" w:hAnsi="仿宋" w:eastAsia="仿宋" w:cs="仿宋"/>
          <w:sz w:val="28"/>
          <w:szCs w:val="28"/>
          <w:lang w:eastAsia="zh-CN"/>
        </w:rPr>
        <w:t>优化基础指标，提升关键指标</w:t>
      </w:r>
      <w:bookmarkEnd w:id="5"/>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的基础上，对热效率、CO含量、加热时间、噪声、干烟气中NOx排放限定值、表面温升、出热水最低温升、远程控制等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结合消费者意见反馈、行业相关数据收集，在国家标准的基础上，新增了出</w:t>
      </w:r>
      <w:bookmarkStart w:id="6" w:name="OLE_LINK10"/>
      <w:r>
        <w:rPr>
          <w:rFonts w:hint="eastAsia" w:ascii="仿宋" w:hAnsi="仿宋" w:eastAsia="仿宋" w:cs="仿宋"/>
          <w:sz w:val="28"/>
          <w:szCs w:val="28"/>
          <w:lang w:eastAsia="zh-CN"/>
        </w:rPr>
        <w:t>热水最低温升、</w:t>
      </w:r>
      <w:r>
        <w:rPr>
          <w:rFonts w:hint="eastAsia" w:ascii="仿宋" w:hAnsi="仿宋" w:eastAsia="仿宋" w:cs="仿宋"/>
          <w:sz w:val="28"/>
          <w:szCs w:val="28"/>
          <w:lang w:val="en-US" w:eastAsia="zh-CN"/>
        </w:rPr>
        <w:t>气候环境适应性、</w:t>
      </w:r>
      <w:r>
        <w:rPr>
          <w:rFonts w:hint="eastAsia" w:ascii="仿宋" w:hAnsi="仿宋" w:eastAsia="仿宋" w:cs="仿宋"/>
          <w:sz w:val="28"/>
          <w:szCs w:val="28"/>
          <w:lang w:eastAsia="zh-CN"/>
        </w:rPr>
        <w:t>限用物质</w:t>
      </w:r>
      <w:bookmarkEnd w:id="6"/>
      <w:r>
        <w:rPr>
          <w:rFonts w:hint="eastAsia" w:ascii="仿宋" w:hAnsi="仿宋" w:eastAsia="仿宋" w:cs="仿宋"/>
          <w:sz w:val="28"/>
          <w:szCs w:val="28"/>
          <w:lang w:eastAsia="zh-CN"/>
        </w:rPr>
        <w:t>等指标，主要是为进一步体现产品的安全卫生性和绿色环保性。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热效率、CO含量、加热时间、噪声、干烟气中NOx排放限定值、表面温升、出热水最低温升、远程控制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针对标准草案中增加的出热水最低温升、</w:t>
      </w:r>
      <w:r>
        <w:rPr>
          <w:rFonts w:hint="eastAsia" w:ascii="仿宋" w:hAnsi="仿宋" w:eastAsia="仿宋" w:cs="仿宋"/>
          <w:sz w:val="28"/>
          <w:szCs w:val="28"/>
          <w:lang w:val="en-US" w:eastAsia="zh-CN"/>
        </w:rPr>
        <w:t>气候环境适应性、</w:t>
      </w:r>
      <w:r>
        <w:rPr>
          <w:rFonts w:hint="eastAsia" w:ascii="仿宋" w:hAnsi="仿宋" w:eastAsia="仿宋" w:cs="仿宋"/>
          <w:sz w:val="28"/>
          <w:szCs w:val="28"/>
          <w:lang w:eastAsia="zh-CN"/>
        </w:rPr>
        <w:t>限用物质等相关指标，确认符合产品趋势、国家产业政策要求及市场导向，属合理增加项。</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本标准的基础性指标，包括了外观</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材料、结构和安全、性能中的“其他性能要求”等指标；关键性指标，包括了热效率、CO含量、加热时间、噪声、干烟气中NOx排放限定值、表面温升、出热水最低温升、远程控制等指标；新增指标出热水最低温升、</w:t>
      </w:r>
      <w:r>
        <w:rPr>
          <w:rFonts w:hint="eastAsia" w:ascii="仿宋" w:hAnsi="仿宋" w:eastAsia="仿宋" w:cs="仿宋"/>
          <w:sz w:val="28"/>
          <w:szCs w:val="28"/>
          <w:lang w:val="en-US" w:eastAsia="zh-CN"/>
        </w:rPr>
        <w:t>气候环境适应性、</w:t>
      </w:r>
      <w:r>
        <w:rPr>
          <w:rFonts w:hint="eastAsia" w:ascii="仿宋" w:hAnsi="仿宋" w:eastAsia="仿宋" w:cs="仿宋"/>
          <w:sz w:val="28"/>
          <w:szCs w:val="28"/>
          <w:lang w:eastAsia="zh-CN"/>
        </w:rPr>
        <w:t>限用物质等指标。</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标准研讨会议后，对标准进行了修改</w:t>
      </w:r>
      <w:r>
        <w:rPr>
          <w:rFonts w:hint="eastAsia" w:ascii="仿宋" w:hAnsi="仿宋" w:eastAsia="仿宋" w:cs="仿宋"/>
          <w:color w:val="FF0000"/>
          <w:sz w:val="28"/>
          <w:szCs w:val="28"/>
          <w:lang w:eastAsia="zh-CN"/>
        </w:rPr>
        <w:t>，并于</w:t>
      </w:r>
      <w:r>
        <w:rPr>
          <w:rFonts w:hint="eastAsia" w:ascii="仿宋" w:hAnsi="仿宋" w:eastAsia="仿宋" w:cs="仿宋"/>
          <w:color w:val="FF0000"/>
          <w:sz w:val="28"/>
          <w:szCs w:val="28"/>
          <w:lang w:val="en-US" w:eastAsia="zh-CN"/>
        </w:rPr>
        <w:t>2025年6月xx日开始</w:t>
      </w:r>
      <w:r>
        <w:rPr>
          <w:rFonts w:hint="eastAsia" w:ascii="仿宋" w:hAnsi="仿宋" w:eastAsia="仿宋" w:cs="仿宋"/>
          <w:sz w:val="28"/>
          <w:szCs w:val="28"/>
          <w:lang w:eastAsia="zh-CN"/>
        </w:rPr>
        <w:t>在佛山标准公共平台及团体标准公共服务平台进行公开征求意见。征求意见过程中未收到意见。</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color w:val="FF0000"/>
          <w:sz w:val="28"/>
          <w:szCs w:val="28"/>
          <w:lang w:eastAsia="zh-CN"/>
        </w:rPr>
        <w:t>于2</w:t>
      </w:r>
      <w:r>
        <w:rPr>
          <w:rFonts w:ascii="仿宋" w:hAnsi="仿宋" w:eastAsia="仿宋" w:cs="仿宋"/>
          <w:color w:val="FF0000"/>
          <w:sz w:val="28"/>
          <w:szCs w:val="28"/>
          <w:lang w:eastAsia="zh-CN"/>
        </w:rPr>
        <w:t>02</w:t>
      </w:r>
      <w:r>
        <w:rPr>
          <w:rFonts w:hint="eastAsia" w:ascii="仿宋" w:hAnsi="仿宋" w:eastAsia="仿宋" w:cs="仿宋"/>
          <w:color w:val="FF0000"/>
          <w:sz w:val="28"/>
          <w:szCs w:val="28"/>
          <w:lang w:val="en-US" w:eastAsia="zh-CN"/>
        </w:rPr>
        <w:t>5</w:t>
      </w:r>
      <w:r>
        <w:rPr>
          <w:rFonts w:hint="eastAsia" w:ascii="仿宋" w:hAnsi="仿宋" w:eastAsia="仿宋" w:cs="仿宋"/>
          <w:color w:val="FF0000"/>
          <w:sz w:val="28"/>
          <w:szCs w:val="28"/>
          <w:lang w:eastAsia="zh-CN"/>
        </w:rPr>
        <w:t>年</w:t>
      </w:r>
      <w:r>
        <w:rPr>
          <w:rFonts w:hint="eastAsia" w:ascii="仿宋" w:hAnsi="仿宋" w:eastAsia="仿宋" w:cs="仿宋"/>
          <w:color w:val="FF0000"/>
          <w:sz w:val="28"/>
          <w:szCs w:val="28"/>
          <w:lang w:val="en-US" w:eastAsia="zh-CN"/>
        </w:rPr>
        <w:t>7</w:t>
      </w:r>
      <w:r>
        <w:rPr>
          <w:rFonts w:hint="eastAsia" w:ascii="仿宋" w:hAnsi="仿宋" w:eastAsia="仿宋" w:cs="仿宋"/>
          <w:color w:val="FF0000"/>
          <w:sz w:val="28"/>
          <w:szCs w:val="28"/>
          <w:lang w:eastAsia="zh-CN"/>
        </w:rPr>
        <w:t>月</w:t>
      </w:r>
      <w:r>
        <w:rPr>
          <w:rFonts w:hint="eastAsia" w:ascii="仿宋" w:hAnsi="仿宋" w:eastAsia="仿宋" w:cs="仿宋"/>
          <w:color w:val="FF0000"/>
          <w:sz w:val="28"/>
          <w:szCs w:val="28"/>
          <w:lang w:val="en-US" w:eastAsia="zh-CN"/>
        </w:rPr>
        <w:t>xx</w:t>
      </w:r>
      <w:r>
        <w:rPr>
          <w:rFonts w:hint="eastAsia" w:ascii="仿宋" w:hAnsi="仿宋" w:eastAsia="仿宋" w:cs="仿宋"/>
          <w:color w:val="FF0000"/>
          <w:sz w:val="28"/>
          <w:szCs w:val="28"/>
          <w:lang w:eastAsia="zh-CN"/>
        </w:rPr>
        <w:t>日，</w:t>
      </w:r>
      <w:r>
        <w:rPr>
          <w:rFonts w:hint="eastAsia" w:ascii="仿宋" w:hAnsi="仿宋" w:eastAsia="仿宋" w:cs="仿宋"/>
          <w:sz w:val="28"/>
          <w:szCs w:val="28"/>
          <w:lang w:eastAsia="zh-CN"/>
        </w:rPr>
        <w:t>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1"/>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widowControl/>
        <w:spacing w:line="360" w:lineRule="auto"/>
        <w:ind w:firstLine="480" w:firstLineChars="200"/>
        <w:jc w:val="both"/>
        <w:rPr>
          <w:rFonts w:hint="eastAsia" w:ascii="仿宋" w:hAnsi="仿宋" w:eastAsia="仿宋" w:cs="仿宋"/>
          <w:sz w:val="24"/>
          <w:szCs w:val="24"/>
          <w:lang w:eastAsia="zh-CN"/>
        </w:rPr>
      </w:pPr>
      <w:bookmarkStart w:id="7" w:name="OLE_LINK15"/>
      <w:r>
        <w:rPr>
          <w:rFonts w:hint="eastAsia" w:ascii="仿宋" w:hAnsi="仿宋" w:eastAsia="仿宋" w:cs="仿宋"/>
          <w:sz w:val="24"/>
          <w:szCs w:val="24"/>
          <w:lang w:eastAsia="zh-CN"/>
        </w:rPr>
        <w:t>GB/T 2423.1 电工电子产品环境试验 第2部分：试验方法 试验A：低温</w:t>
      </w:r>
    </w:p>
    <w:p>
      <w:pPr>
        <w:widowControl/>
        <w:spacing w:line="360" w:lineRule="auto"/>
        <w:ind w:firstLine="480" w:firstLineChars="200"/>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GB/T 2423.2 电工电子产品环境试验 第2部分：试验方法 试验B：高温</w:t>
      </w:r>
    </w:p>
    <w:p>
      <w:pPr>
        <w:widowControl/>
        <w:spacing w:line="360" w:lineRule="auto"/>
        <w:ind w:firstLine="480" w:firstLineChars="200"/>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GB/T 2423.3 环境试验 第2部分：试验方法 试验Cab：恒定湿热试验</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 20665</w:t>
      </w:r>
      <w:bookmarkEnd w:id="7"/>
      <w:r>
        <w:rPr>
          <w:rFonts w:hint="eastAsia" w:ascii="仿宋" w:hAnsi="仿宋" w:eastAsia="仿宋" w:cs="仿宋"/>
          <w:sz w:val="24"/>
          <w:szCs w:val="24"/>
          <w:lang w:eastAsia="zh-CN"/>
        </w:rPr>
        <w:t>—2015 家用燃气快速热水器和燃气采暖热水炉能效限定值及能效等级</w:t>
      </w:r>
    </w:p>
    <w:p>
      <w:pPr>
        <w:widowControl/>
        <w:spacing w:line="360" w:lineRule="auto"/>
        <w:ind w:firstLine="480" w:firstLineChars="200"/>
        <w:jc w:val="both"/>
        <w:rPr>
          <w:rFonts w:ascii="仿宋" w:hAnsi="仿宋" w:eastAsia="仿宋" w:cs="仿宋"/>
          <w:sz w:val="24"/>
          <w:szCs w:val="24"/>
          <w:lang w:eastAsia="zh-CN"/>
        </w:rPr>
      </w:pPr>
      <w:bookmarkStart w:id="8" w:name="OLE_LINK2"/>
      <w:bookmarkStart w:id="9" w:name="OLE_LINK18"/>
      <w:r>
        <w:rPr>
          <w:rFonts w:hint="eastAsia" w:ascii="仿宋" w:hAnsi="仿宋" w:eastAsia="仿宋" w:cs="仿宋"/>
          <w:sz w:val="24"/>
          <w:szCs w:val="24"/>
          <w:lang w:eastAsia="zh-CN"/>
        </w:rPr>
        <w:t>GB 25034—2020</w:t>
      </w:r>
      <w:bookmarkEnd w:id="8"/>
      <w:r>
        <w:rPr>
          <w:rFonts w:hint="eastAsia" w:ascii="仿宋" w:hAnsi="仿宋" w:eastAsia="仿宋" w:cs="仿宋"/>
          <w:sz w:val="24"/>
          <w:szCs w:val="24"/>
          <w:lang w:eastAsia="zh-CN"/>
        </w:rPr>
        <w:t xml:space="preserve"> 燃气采暖热水炉</w:t>
      </w:r>
      <w:bookmarkEnd w:id="9"/>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GB/T 26125 电子电气产品 六种限用物质（铅、汞、镉、六价铬、多溴联苯和多溴二苯醚）的测定</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GB/T 26572 电子电气产品中限用物质的限量要求</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本文件规定了燃气采暖热水炉（以下简称采暖炉）的分类与型号、要求、试验方法、检验规则、标志、说明书、包装、运输和贮存。</w:t>
      </w:r>
    </w:p>
    <w:p>
      <w:pPr>
        <w:widowControl/>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本文件适用于额定热输入小于100 kW，最大采暖工作水压小于等于0.6 MPa，工作时水温不大于 95 ℃，采用</w:t>
      </w:r>
      <w:bookmarkStart w:id="10" w:name="OLE_LINK12"/>
      <w:r>
        <w:rPr>
          <w:rFonts w:hint="eastAsia" w:ascii="仿宋" w:hAnsi="仿宋" w:eastAsia="仿宋" w:cs="仿宋"/>
          <w:sz w:val="28"/>
          <w:szCs w:val="28"/>
          <w:lang w:eastAsia="zh-CN"/>
        </w:rPr>
        <w:t>大气式</w:t>
      </w:r>
      <w:bookmarkEnd w:id="10"/>
      <w:r>
        <w:rPr>
          <w:rFonts w:hint="eastAsia" w:ascii="仿宋" w:hAnsi="仿宋" w:eastAsia="仿宋" w:cs="仿宋"/>
          <w:sz w:val="28"/>
          <w:szCs w:val="28"/>
          <w:lang w:eastAsia="zh-CN"/>
        </w:rPr>
        <w:t>或全预混式燃烧的采暖炉。</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本标准的基础性指标，包括了外观</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材料、结构和安全、性能中的“其他性能要求”等指标；关键性指标，包括了热效率、CO含量、加热时间、噪声、干烟气中NOx排放限定值、表面温升、出热水最低温升、远程控制等指标；新增指标出热水最低温升、</w:t>
      </w:r>
      <w:r>
        <w:rPr>
          <w:rFonts w:hint="eastAsia" w:ascii="仿宋" w:hAnsi="仿宋" w:eastAsia="仿宋" w:cs="仿宋"/>
          <w:sz w:val="28"/>
          <w:szCs w:val="28"/>
          <w:lang w:val="en-US" w:eastAsia="zh-CN"/>
        </w:rPr>
        <w:t>气候环境适应性、</w:t>
      </w:r>
      <w:r>
        <w:rPr>
          <w:rFonts w:hint="eastAsia" w:ascii="仿宋" w:hAnsi="仿宋" w:eastAsia="仿宋" w:cs="仿宋"/>
          <w:sz w:val="28"/>
          <w:szCs w:val="28"/>
          <w:lang w:eastAsia="zh-CN"/>
        </w:rPr>
        <w:t>限用物质等指标。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7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960"/>
        <w:gridCol w:w="865"/>
        <w:gridCol w:w="25"/>
        <w:gridCol w:w="810"/>
        <w:gridCol w:w="95"/>
        <w:gridCol w:w="1248"/>
        <w:gridCol w:w="2077"/>
        <w:gridCol w:w="1522"/>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类型</w:t>
            </w: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指标项目</w:t>
            </w:r>
          </w:p>
        </w:tc>
        <w:tc>
          <w:tcPr>
            <w:tcW w:w="2742" w:type="pct"/>
            <w:gridSpan w:val="6"/>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eastAsia="zh-CN"/>
              </w:rPr>
              <w:t>佛山</w:t>
            </w:r>
            <w:r>
              <w:rPr>
                <w:rFonts w:hint="eastAsia" w:ascii="宋体" w:hAnsi="宋体" w:eastAsia="宋体" w:cs="宋体"/>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T/FSS XX—202</w:t>
            </w:r>
            <w:r>
              <w:rPr>
                <w:rFonts w:hint="eastAsia" w:ascii="宋体" w:hAnsi="宋体" w:eastAsia="宋体" w:cs="宋体"/>
                <w:spacing w:val="0"/>
                <w:sz w:val="18"/>
                <w:szCs w:val="18"/>
                <w:shd w:val="clear" w:color="auto" w:fill="auto"/>
                <w:lang w:val="en-US" w:eastAsia="zh-CN"/>
              </w:rPr>
              <w:t>5</w:t>
            </w:r>
          </w:p>
        </w:tc>
        <w:tc>
          <w:tcPr>
            <w:tcW w:w="815"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GB 25034—2020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基础</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指标</w:t>
            </w: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z w:val="18"/>
                <w:szCs w:val="18"/>
              </w:rPr>
              <w:t>外观</w:t>
            </w:r>
          </w:p>
        </w:tc>
        <w:tc>
          <w:tcPr>
            <w:tcW w:w="2742" w:type="pct"/>
            <w:gridSpan w:val="6"/>
            <w:shd w:val="clear" w:color="auto" w:fill="auto"/>
            <w:vAlign w:val="center"/>
          </w:tcPr>
          <w:p>
            <w:pPr>
              <w:pStyle w:val="39"/>
              <w:keepNext w:val="0"/>
              <w:keepLines w:val="0"/>
              <w:pageBreakBefore w:val="0"/>
              <w:widowControl/>
              <w:numPr>
                <w:ilvl w:val="2"/>
                <w:numId w:val="0"/>
              </w:numPr>
              <w:kinsoku/>
              <w:wordWrap/>
              <w:overflowPunct/>
              <w:topLinePunct w:val="0"/>
              <w:autoSpaceDE/>
              <w:autoSpaceDN/>
              <w:bidi w:val="0"/>
              <w:adjustRightInd/>
              <w:snapToGrid/>
              <w:spacing w:before="0" w:after="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5.1.1</w:t>
            </w:r>
            <w:r>
              <w:rPr>
                <w:rFonts w:hint="eastAsia" w:ascii="宋体" w:hAnsi="宋体" w:eastAsia="宋体" w:cs="宋体"/>
                <w:sz w:val="18"/>
                <w:szCs w:val="18"/>
              </w:rPr>
              <w:t>表面应无凸起、凹陷、粗糙不平</w:t>
            </w:r>
            <w:r>
              <w:rPr>
                <w:rFonts w:hint="eastAsia" w:ascii="宋体" w:hAnsi="宋体" w:eastAsia="宋体" w:cs="宋体"/>
                <w:sz w:val="18"/>
                <w:szCs w:val="18"/>
                <w:lang w:eastAsia="zh-CN"/>
              </w:rPr>
              <w:t>、</w:t>
            </w:r>
            <w:r>
              <w:rPr>
                <w:rFonts w:hint="eastAsia" w:ascii="宋体" w:hAnsi="宋体" w:eastAsia="宋体" w:cs="宋体"/>
                <w:sz w:val="18"/>
                <w:szCs w:val="18"/>
              </w:rPr>
              <w:t>划痕</w:t>
            </w:r>
            <w:r>
              <w:rPr>
                <w:rFonts w:hint="eastAsia" w:ascii="宋体" w:hAnsi="宋体" w:eastAsia="宋体" w:cs="宋体"/>
                <w:sz w:val="18"/>
                <w:szCs w:val="18"/>
                <w:lang w:eastAsia="zh-CN"/>
              </w:rPr>
              <w:t>及影响安全使用的毛刺</w:t>
            </w:r>
            <w:r>
              <w:rPr>
                <w:rFonts w:hint="eastAsia" w:ascii="宋体" w:hAnsi="宋体" w:eastAsia="宋体" w:cs="宋体"/>
                <w:sz w:val="18"/>
                <w:szCs w:val="18"/>
              </w:rPr>
              <w:t>等缺陷</w:t>
            </w:r>
            <w:r>
              <w:rPr>
                <w:rFonts w:hint="eastAsia" w:ascii="宋体" w:hAnsi="宋体" w:eastAsia="宋体" w:cs="宋体"/>
                <w:sz w:val="18"/>
                <w:szCs w:val="18"/>
                <w:lang w:eastAsia="zh-CN"/>
              </w:rPr>
              <w:t>，各部件之间应无明显间隙、错位</w:t>
            </w:r>
            <w:r>
              <w:rPr>
                <w:rFonts w:hint="eastAsia" w:ascii="宋体" w:hAnsi="宋体" w:eastAsia="宋体" w:cs="宋体"/>
                <w:sz w:val="18"/>
                <w:szCs w:val="18"/>
              </w:rPr>
              <w:t>。</w:t>
            </w:r>
          </w:p>
          <w:p>
            <w:pPr>
              <w:pStyle w:val="39"/>
              <w:keepNext w:val="0"/>
              <w:keepLines w:val="0"/>
              <w:pageBreakBefore w:val="0"/>
              <w:widowControl/>
              <w:numPr>
                <w:ilvl w:val="2"/>
                <w:numId w:val="0"/>
              </w:numPr>
              <w:kinsoku/>
              <w:wordWrap/>
              <w:overflowPunct/>
              <w:topLinePunct w:val="0"/>
              <w:autoSpaceDE/>
              <w:autoSpaceDN/>
              <w:bidi w:val="0"/>
              <w:adjustRightInd/>
              <w:snapToGrid/>
              <w:spacing w:before="0" w:after="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5.1.2</w:t>
            </w:r>
            <w:r>
              <w:rPr>
                <w:rFonts w:hint="eastAsia" w:ascii="宋体" w:hAnsi="宋体" w:eastAsia="宋体" w:cs="宋体"/>
                <w:sz w:val="18"/>
                <w:szCs w:val="18"/>
              </w:rPr>
              <w:t>涂层表面应平整光亮，色泽均匀，无流疤、麻坑、皱纹、起泡、漏涂、集合沙粒等缺陷。</w:t>
            </w:r>
          </w:p>
          <w:p>
            <w:pPr>
              <w:pStyle w:val="39"/>
              <w:keepNext w:val="0"/>
              <w:keepLines w:val="0"/>
              <w:pageBreakBefore w:val="0"/>
              <w:widowControl/>
              <w:numPr>
                <w:ilvl w:val="2"/>
                <w:numId w:val="0"/>
              </w:numPr>
              <w:kinsoku/>
              <w:wordWrap/>
              <w:overflowPunct/>
              <w:topLinePunct w:val="0"/>
              <w:autoSpaceDE/>
              <w:autoSpaceDN/>
              <w:bidi w:val="0"/>
              <w:adjustRightInd/>
              <w:snapToGrid/>
              <w:spacing w:before="0" w:after="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5.1.3</w:t>
            </w:r>
            <w:r>
              <w:rPr>
                <w:rFonts w:hint="eastAsia" w:ascii="宋体" w:hAnsi="宋体" w:eastAsia="宋体" w:cs="宋体"/>
                <w:sz w:val="18"/>
                <w:szCs w:val="18"/>
              </w:rPr>
              <w:t>电镀件的装饰镀层应光滑细密，无锈点锈迹、针孔气泡和镀层剥落等缺陷。</w:t>
            </w:r>
          </w:p>
          <w:p>
            <w:pPr>
              <w:pStyle w:val="39"/>
              <w:keepNext w:val="0"/>
              <w:keepLines w:val="0"/>
              <w:pageBreakBefore w:val="0"/>
              <w:widowControl/>
              <w:numPr>
                <w:ilvl w:val="2"/>
                <w:numId w:val="0"/>
              </w:numPr>
              <w:kinsoku/>
              <w:wordWrap/>
              <w:overflowPunct/>
              <w:topLinePunct w:val="0"/>
              <w:autoSpaceDE/>
              <w:autoSpaceDN/>
              <w:bidi w:val="0"/>
              <w:adjustRightInd/>
              <w:snapToGrid/>
              <w:spacing w:before="0" w:after="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5.1.4</w:t>
            </w:r>
            <w:r>
              <w:rPr>
                <w:rFonts w:hint="eastAsia" w:ascii="宋体" w:hAnsi="宋体" w:eastAsia="宋体" w:cs="宋体"/>
                <w:sz w:val="18"/>
                <w:szCs w:val="18"/>
              </w:rPr>
              <w:t>塑料件表面应平整光滑、色泽均匀，无裂痕、气泡、明显缩孔和变形等缺陷。</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pacing w:val="0"/>
                <w:kern w:val="2"/>
                <w:sz w:val="18"/>
                <w:szCs w:val="18"/>
                <w:shd w:val="clear" w:color="auto" w:fill="auto"/>
                <w:lang w:val="en-US" w:eastAsia="zh-CN" w:bidi="ar-SA"/>
              </w:rPr>
            </w:pPr>
            <w:r>
              <w:rPr>
                <w:rFonts w:hint="eastAsia" w:ascii="宋体" w:hAnsi="宋体" w:eastAsia="宋体" w:cs="宋体"/>
                <w:sz w:val="18"/>
                <w:szCs w:val="18"/>
                <w:lang w:val="en-US" w:eastAsia="zh-CN"/>
              </w:rPr>
              <w:t>5.1.5</w:t>
            </w:r>
            <w:r>
              <w:rPr>
                <w:rFonts w:hint="eastAsia" w:ascii="宋体" w:hAnsi="宋体" w:eastAsia="宋体" w:cs="宋体"/>
                <w:sz w:val="18"/>
                <w:szCs w:val="18"/>
                <w:lang w:eastAsia="zh-CN"/>
              </w:rPr>
              <w:t>各种标志应清晰、牢靠。</w:t>
            </w:r>
          </w:p>
        </w:tc>
        <w:tc>
          <w:tcPr>
            <w:tcW w:w="815"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en-US" w:eastAsia="zh-CN" w:bidi="ar-SA"/>
              </w:rPr>
              <w:t>——</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pacing w:val="0"/>
                <w:sz w:val="18"/>
                <w:szCs w:val="18"/>
                <w:shd w:val="clear" w:color="auto" w:fill="auto"/>
                <w:lang w:val="zh-CN" w:eastAsia="zh-CN" w:bidi="ar-SA"/>
              </w:rPr>
            </w:pPr>
            <w:bookmarkStart w:id="11" w:name="OLE_LINK9"/>
            <w:r>
              <w:rPr>
                <w:rFonts w:hint="eastAsia" w:ascii="宋体" w:hAnsi="宋体" w:eastAsia="宋体" w:cs="宋体"/>
                <w:sz w:val="18"/>
                <w:szCs w:val="18"/>
              </w:rPr>
              <w:t>材料、结构和安全</w:t>
            </w:r>
            <w:bookmarkEnd w:id="11"/>
          </w:p>
        </w:tc>
        <w:tc>
          <w:tcPr>
            <w:tcW w:w="2742" w:type="pct"/>
            <w:gridSpan w:val="6"/>
            <w:shd w:val="clear" w:color="auto" w:fill="auto"/>
            <w:vAlign w:val="center"/>
          </w:tcPr>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应符合GB 25034</w:t>
            </w:r>
            <w:bookmarkStart w:id="12" w:name="OLE_LINK16"/>
            <w:r>
              <w:rPr>
                <w:rFonts w:hint="eastAsia" w:ascii="宋体" w:hAnsi="宋体" w:eastAsia="宋体" w:cs="宋体"/>
                <w:sz w:val="18"/>
                <w:szCs w:val="18"/>
              </w:rPr>
              <w:t>—</w:t>
            </w:r>
            <w:bookmarkEnd w:id="12"/>
            <w:r>
              <w:rPr>
                <w:rFonts w:hint="eastAsia" w:ascii="宋体" w:hAnsi="宋体" w:eastAsia="宋体" w:cs="宋体"/>
                <w:sz w:val="18"/>
                <w:szCs w:val="18"/>
              </w:rPr>
              <w:t>2020中第5章的要求</w:t>
            </w:r>
          </w:p>
        </w:tc>
        <w:tc>
          <w:tcPr>
            <w:tcW w:w="815" w:type="pct"/>
            <w:vAlign w:val="center"/>
          </w:tcPr>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en-US" w:eastAsia="zh-CN" w:bidi="ar-SA"/>
              </w:rPr>
              <w:t>标准中第5章要求</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性能</w:t>
            </w:r>
          </w:p>
        </w:tc>
        <w:tc>
          <w:tcPr>
            <w:tcW w:w="463"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其他性能要求</w:t>
            </w:r>
          </w:p>
        </w:tc>
        <w:tc>
          <w:tcPr>
            <w:tcW w:w="2279" w:type="pct"/>
            <w:gridSpan w:val="5"/>
            <w:shd w:val="clear" w:color="auto" w:fill="auto"/>
            <w:vAlign w:val="center"/>
          </w:tcPr>
          <w:p>
            <w:pPr>
              <w:pStyle w:val="44"/>
              <w:ind w:left="125" w:leftChars="0" w:right="108" w:rightChars="0"/>
              <w:jc w:val="center"/>
              <w:rPr>
                <w:rFonts w:hint="eastAsia" w:ascii="宋体" w:hAnsi="宋体" w:eastAsia="宋体" w:cs="宋体"/>
                <w:sz w:val="18"/>
                <w:szCs w:val="18"/>
              </w:rPr>
            </w:pPr>
            <w:r>
              <w:rPr>
                <w:rFonts w:hint="eastAsia" w:ascii="宋体" w:hAnsi="宋体" w:eastAsia="宋体" w:cs="宋体"/>
                <w:sz w:val="18"/>
                <w:szCs w:val="18"/>
              </w:rPr>
              <w:t>应符合GB 25034</w:t>
            </w:r>
            <w:r>
              <w:rPr>
                <w:rFonts w:hint="eastAsia" w:ascii="宋体" w:hAnsi="宋体" w:eastAsia="宋体" w:cs="宋体"/>
                <w:sz w:val="18"/>
                <w:szCs w:val="18"/>
                <w:lang w:eastAsia="zh-CN"/>
              </w:rPr>
              <w:t>—</w:t>
            </w:r>
            <w:r>
              <w:rPr>
                <w:rFonts w:hint="eastAsia" w:ascii="宋体" w:hAnsi="宋体" w:eastAsia="宋体" w:cs="宋体"/>
                <w:sz w:val="18"/>
                <w:szCs w:val="18"/>
              </w:rPr>
              <w:t>2020中第6章和GB 20665</w:t>
            </w:r>
            <w:r>
              <w:rPr>
                <w:rFonts w:hint="eastAsia" w:ascii="宋体" w:hAnsi="宋体" w:eastAsia="宋体" w:cs="宋体"/>
                <w:sz w:val="18"/>
                <w:szCs w:val="18"/>
                <w:lang w:eastAsia="zh-CN"/>
              </w:rPr>
              <w:t>—</w:t>
            </w:r>
            <w:r>
              <w:rPr>
                <w:rFonts w:hint="eastAsia" w:ascii="宋体" w:hAnsi="宋体" w:eastAsia="宋体" w:cs="宋体"/>
                <w:sz w:val="18"/>
                <w:szCs w:val="18"/>
              </w:rPr>
              <w:t>2015中第4章的要求</w:t>
            </w:r>
          </w:p>
        </w:tc>
        <w:tc>
          <w:tcPr>
            <w:tcW w:w="815" w:type="pct"/>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GB 25034</w:t>
            </w:r>
            <w:r>
              <w:rPr>
                <w:rFonts w:hint="eastAsia" w:ascii="宋体" w:hAnsi="宋体" w:eastAsia="宋体" w:cs="宋体"/>
                <w:sz w:val="18"/>
                <w:szCs w:val="18"/>
                <w:lang w:eastAsia="zh-CN"/>
              </w:rPr>
              <w:t>—</w:t>
            </w:r>
            <w:r>
              <w:rPr>
                <w:rFonts w:hint="eastAsia" w:ascii="宋体" w:hAnsi="宋体" w:eastAsia="宋体" w:cs="宋体"/>
                <w:sz w:val="18"/>
                <w:szCs w:val="18"/>
              </w:rPr>
              <w:t>2020中第6章和GB 20665</w:t>
            </w:r>
            <w:r>
              <w:rPr>
                <w:rFonts w:hint="eastAsia" w:ascii="宋体" w:hAnsi="宋体" w:eastAsia="宋体" w:cs="宋体"/>
                <w:sz w:val="18"/>
                <w:szCs w:val="18"/>
                <w:lang w:eastAsia="zh-CN"/>
              </w:rPr>
              <w:t>—</w:t>
            </w:r>
            <w:r>
              <w:rPr>
                <w:rFonts w:hint="eastAsia" w:ascii="宋体" w:hAnsi="宋体" w:eastAsia="宋体" w:cs="宋体"/>
                <w:sz w:val="18"/>
                <w:szCs w:val="18"/>
              </w:rPr>
              <w:t>2015中第4章的要求</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关键</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zh-CN" w:eastAsia="zh-CN"/>
              </w:rPr>
              <w:t>指标</w:t>
            </w:r>
          </w:p>
        </w:tc>
        <w:tc>
          <w:tcPr>
            <w:tcW w:w="514"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性能</w:t>
            </w:r>
          </w:p>
        </w:tc>
        <w:tc>
          <w:tcPr>
            <w:tcW w:w="1630" w:type="pct"/>
            <w:gridSpan w:val="5"/>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性能项目</w:t>
            </w:r>
          </w:p>
        </w:tc>
        <w:tc>
          <w:tcPr>
            <w:tcW w:w="111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性能</w:t>
            </w:r>
            <w:r>
              <w:rPr>
                <w:rFonts w:hint="eastAsia" w:ascii="宋体" w:hAnsi="宋体" w:eastAsia="宋体" w:cs="宋体"/>
                <w:sz w:val="18"/>
                <w:szCs w:val="18"/>
                <w:lang w:eastAsia="zh-CN"/>
              </w:rPr>
              <w:t>要求</w:t>
            </w:r>
          </w:p>
        </w:tc>
        <w:tc>
          <w:tcPr>
            <w:tcW w:w="815"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热效率/%</w:t>
            </w:r>
          </w:p>
        </w:tc>
        <w:tc>
          <w:tcPr>
            <w:tcW w:w="433" w:type="pct"/>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非冷凝炉</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热水</w:t>
            </w:r>
            <w:r>
              <w:rPr>
                <w:rFonts w:hint="eastAsia" w:ascii="宋体" w:hAnsi="宋体" w:eastAsia="宋体" w:cs="宋体"/>
                <w:i/>
                <w:iCs/>
                <w:sz w:val="18"/>
                <w:szCs w:val="18"/>
              </w:rPr>
              <w:t>η</w:t>
            </w:r>
            <w:r>
              <w:rPr>
                <w:rFonts w:hint="eastAsia" w:ascii="宋体" w:hAnsi="宋体" w:eastAsia="宋体" w:cs="宋体"/>
                <w:sz w:val="18"/>
                <w:szCs w:val="18"/>
                <w:vertAlign w:val="subscript"/>
              </w:rPr>
              <w:t>1</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≥90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89</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热水</w:t>
            </w:r>
            <w:r>
              <w:rPr>
                <w:rFonts w:hint="eastAsia" w:ascii="宋体" w:hAnsi="宋体" w:eastAsia="宋体" w:cs="宋体"/>
                <w:i/>
                <w:iCs/>
                <w:sz w:val="18"/>
                <w:szCs w:val="18"/>
              </w:rPr>
              <w:t>η</w:t>
            </w:r>
            <w:r>
              <w:rPr>
                <w:rFonts w:hint="eastAsia" w:ascii="宋体" w:hAnsi="宋体" w:eastAsia="宋体" w:cs="宋体"/>
                <w:sz w:val="18"/>
                <w:szCs w:val="18"/>
                <w:vertAlign w:val="subscript"/>
              </w:rPr>
              <w:t>2</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≥87</w:t>
            </w:r>
          </w:p>
        </w:tc>
        <w:tc>
          <w:tcPr>
            <w:tcW w:w="815"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供暖</w:t>
            </w:r>
            <w:r>
              <w:rPr>
                <w:rFonts w:hint="eastAsia" w:ascii="宋体" w:hAnsi="宋体" w:eastAsia="宋体" w:cs="宋体"/>
                <w:i/>
                <w:iCs/>
                <w:sz w:val="18"/>
                <w:szCs w:val="18"/>
              </w:rPr>
              <w:t>η</w:t>
            </w:r>
            <w:r>
              <w:rPr>
                <w:rFonts w:hint="eastAsia" w:ascii="宋体" w:hAnsi="宋体" w:eastAsia="宋体" w:cs="宋体"/>
                <w:sz w:val="18"/>
                <w:szCs w:val="18"/>
                <w:vertAlign w:val="subscript"/>
              </w:rPr>
              <w:t>1</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bookmarkStart w:id="13" w:name="OLE_LINK4"/>
            <w:r>
              <w:rPr>
                <w:rFonts w:hint="eastAsia" w:ascii="宋体" w:hAnsi="宋体" w:eastAsia="宋体" w:cs="宋体"/>
                <w:sz w:val="18"/>
                <w:szCs w:val="18"/>
              </w:rPr>
              <w:t>≥</w:t>
            </w:r>
            <w:bookmarkEnd w:id="13"/>
            <w:r>
              <w:rPr>
                <w:rFonts w:hint="eastAsia" w:ascii="宋体" w:hAnsi="宋体" w:eastAsia="宋体" w:cs="宋体"/>
                <w:sz w:val="18"/>
                <w:szCs w:val="18"/>
              </w:rPr>
              <w:t>91</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89</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供暖</w:t>
            </w:r>
            <w:r>
              <w:rPr>
                <w:rFonts w:hint="eastAsia" w:ascii="宋体" w:hAnsi="宋体" w:eastAsia="宋体" w:cs="宋体"/>
                <w:i/>
                <w:iCs/>
                <w:sz w:val="18"/>
                <w:szCs w:val="18"/>
              </w:rPr>
              <w:t>η</w:t>
            </w:r>
            <w:r>
              <w:rPr>
                <w:rFonts w:hint="eastAsia" w:ascii="宋体" w:hAnsi="宋体" w:eastAsia="宋体" w:cs="宋体"/>
                <w:sz w:val="18"/>
                <w:szCs w:val="18"/>
                <w:vertAlign w:val="subscript"/>
              </w:rPr>
              <w:t>2</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≥86</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85</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冷凝炉</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热水</w:t>
            </w:r>
            <w:r>
              <w:rPr>
                <w:rFonts w:hint="eastAsia" w:ascii="宋体" w:hAnsi="宋体" w:eastAsia="宋体" w:cs="宋体"/>
                <w:i/>
                <w:iCs/>
                <w:sz w:val="18"/>
                <w:szCs w:val="18"/>
              </w:rPr>
              <w:t>η</w:t>
            </w:r>
            <w:r>
              <w:rPr>
                <w:rFonts w:hint="eastAsia" w:ascii="宋体" w:hAnsi="宋体" w:eastAsia="宋体" w:cs="宋体"/>
                <w:sz w:val="18"/>
                <w:szCs w:val="18"/>
                <w:vertAlign w:val="subscript"/>
              </w:rPr>
              <w:t>1</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≥9</w:t>
            </w:r>
            <w:r>
              <w:rPr>
                <w:rFonts w:hint="eastAsia" w:ascii="宋体" w:cs="宋体"/>
                <w:sz w:val="18"/>
                <w:szCs w:val="18"/>
                <w:lang w:val="en-US" w:eastAsia="zh-CN"/>
              </w:rPr>
              <w:t>7</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96</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热水</w:t>
            </w:r>
            <w:r>
              <w:rPr>
                <w:rFonts w:hint="eastAsia" w:ascii="宋体" w:hAnsi="宋体" w:eastAsia="宋体" w:cs="宋体"/>
                <w:i/>
                <w:iCs/>
                <w:sz w:val="18"/>
                <w:szCs w:val="18"/>
              </w:rPr>
              <w:t>η</w:t>
            </w:r>
            <w:r>
              <w:rPr>
                <w:rFonts w:hint="eastAsia" w:ascii="宋体" w:hAnsi="宋体" w:eastAsia="宋体" w:cs="宋体"/>
                <w:sz w:val="18"/>
                <w:szCs w:val="18"/>
                <w:vertAlign w:val="subscript"/>
              </w:rPr>
              <w:t>2</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≥96</w:t>
            </w:r>
          </w:p>
        </w:tc>
        <w:tc>
          <w:tcPr>
            <w:tcW w:w="815"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供暖</w:t>
            </w:r>
            <w:r>
              <w:rPr>
                <w:rFonts w:hint="eastAsia" w:ascii="宋体" w:hAnsi="宋体" w:eastAsia="宋体" w:cs="宋体"/>
                <w:i/>
                <w:iCs/>
                <w:sz w:val="18"/>
                <w:szCs w:val="18"/>
              </w:rPr>
              <w:t>η</w:t>
            </w:r>
            <w:r>
              <w:rPr>
                <w:rFonts w:hint="eastAsia" w:ascii="宋体" w:hAnsi="宋体" w:eastAsia="宋体" w:cs="宋体"/>
                <w:sz w:val="18"/>
                <w:szCs w:val="18"/>
                <w:vertAlign w:val="subscript"/>
              </w:rPr>
              <w:t>1</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≥10</w:t>
            </w:r>
            <w:r>
              <w:rPr>
                <w:rFonts w:hint="eastAsia" w:ascii="宋体" w:cs="宋体"/>
                <w:sz w:val="18"/>
                <w:szCs w:val="18"/>
                <w:lang w:val="en-US" w:eastAsia="zh-CN"/>
              </w:rPr>
              <w:t>3</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99</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供暖</w:t>
            </w:r>
            <w:r>
              <w:rPr>
                <w:rFonts w:hint="eastAsia" w:ascii="宋体" w:hAnsi="宋体" w:eastAsia="宋体" w:cs="宋体"/>
                <w:i/>
                <w:iCs/>
                <w:sz w:val="18"/>
                <w:szCs w:val="18"/>
              </w:rPr>
              <w:t>η</w:t>
            </w:r>
            <w:r>
              <w:rPr>
                <w:rFonts w:hint="eastAsia" w:ascii="宋体" w:hAnsi="宋体" w:eastAsia="宋体" w:cs="宋体"/>
                <w:sz w:val="18"/>
                <w:szCs w:val="18"/>
                <w:vertAlign w:val="subscript"/>
              </w:rPr>
              <w:t>2</w:t>
            </w:r>
          </w:p>
        </w:tc>
        <w:tc>
          <w:tcPr>
            <w:tcW w:w="1112" w:type="pct"/>
            <w:shd w:val="clear" w:color="auto" w:fill="auto"/>
            <w:vAlign w:val="center"/>
          </w:tcPr>
          <w:p>
            <w:pPr>
              <w:pStyle w:val="44"/>
              <w:ind w:left="125" w:leftChars="0" w:right="108" w:right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rPr>
              <w:t>≥</w:t>
            </w:r>
            <w:r>
              <w:rPr>
                <w:rFonts w:hint="eastAsia" w:ascii="宋体" w:cs="宋体"/>
                <w:sz w:val="18"/>
                <w:szCs w:val="18"/>
                <w:lang w:val="en-US" w:eastAsia="zh-CN"/>
              </w:rPr>
              <w:t>98</w:t>
            </w:r>
            <w:bookmarkStart w:id="26" w:name="_GoBack"/>
            <w:bookmarkEnd w:id="26"/>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95</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CO含量/%</w:t>
            </w:r>
          </w:p>
        </w:tc>
        <w:tc>
          <w:tcPr>
            <w:tcW w:w="1153" w:type="pct"/>
            <w:gridSpan w:val="3"/>
            <w:shd w:val="clear" w:color="auto" w:fill="auto"/>
            <w:vAlign w:val="center"/>
          </w:tcPr>
          <w:p>
            <w:pPr>
              <w:pStyle w:val="44"/>
              <w:ind w:left="125" w:leftChars="0" w:right="108" w:righ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极限热输入时</w:t>
            </w:r>
          </w:p>
        </w:tc>
        <w:tc>
          <w:tcPr>
            <w:tcW w:w="1112" w:type="pct"/>
            <w:shd w:val="clear" w:color="auto" w:fill="auto"/>
            <w:vAlign w:val="center"/>
          </w:tcPr>
          <w:p>
            <w:pPr>
              <w:pStyle w:val="44"/>
              <w:ind w:left="125" w:leftChars="0" w:right="108" w:rightChars="0"/>
              <w:jc w:val="center"/>
              <w:rPr>
                <w:rFonts w:hint="eastAsia" w:ascii="宋体" w:hAnsi="宋体" w:eastAsia="宋体" w:cs="宋体"/>
                <w:kern w:val="2"/>
                <w:sz w:val="18"/>
                <w:szCs w:val="18"/>
                <w:lang w:val="en-US" w:eastAsia="zh-CN" w:bidi="ar-SA"/>
              </w:rPr>
            </w:pPr>
            <w:bookmarkStart w:id="14" w:name="OLE_LINK6"/>
            <w:r>
              <w:rPr>
                <w:rFonts w:hint="eastAsia" w:ascii="宋体" w:hAnsi="宋体" w:eastAsia="宋体" w:cs="宋体"/>
                <w:sz w:val="18"/>
                <w:szCs w:val="18"/>
              </w:rPr>
              <w:t>≤</w:t>
            </w:r>
            <w:bookmarkEnd w:id="14"/>
            <w:r>
              <w:rPr>
                <w:rFonts w:hint="eastAsia" w:ascii="宋体" w:hAnsi="宋体" w:eastAsia="宋体" w:cs="宋体"/>
                <w:sz w:val="18"/>
                <w:szCs w:val="18"/>
              </w:rPr>
              <w:t>0.03</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0.1</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1153" w:type="pct"/>
            <w:gridSpan w:val="3"/>
            <w:shd w:val="clear" w:color="auto" w:fill="auto"/>
            <w:vAlign w:val="center"/>
          </w:tcPr>
          <w:p>
            <w:pPr>
              <w:pStyle w:val="44"/>
              <w:ind w:left="125" w:leftChars="0" w:right="108" w:righ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不完全燃烧界限气工况时</w:t>
            </w:r>
          </w:p>
        </w:tc>
        <w:tc>
          <w:tcPr>
            <w:tcW w:w="1112" w:type="pct"/>
            <w:shd w:val="clear" w:color="auto" w:fill="auto"/>
            <w:vAlign w:val="center"/>
          </w:tcPr>
          <w:p>
            <w:pPr>
              <w:pStyle w:val="44"/>
              <w:ind w:left="125" w:leftChars="0" w:right="108" w:righ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≤0.10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0.2</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910" w:type="pct"/>
            <w:gridSpan w:val="3"/>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加热时间/s</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非冷凝炉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≤50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90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910" w:type="pct"/>
            <w:gridSpan w:val="3"/>
            <w:vMerge w:val="continue"/>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冷凝炉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≤70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90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噪声（声功率）/dB（A）</w:t>
            </w:r>
          </w:p>
        </w:tc>
        <w:tc>
          <w:tcPr>
            <w:tcW w:w="433" w:type="pct"/>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i/>
                <w:iCs/>
                <w:sz w:val="18"/>
                <w:szCs w:val="18"/>
              </w:rPr>
              <w:t>Ф</w:t>
            </w:r>
            <w:r>
              <w:rPr>
                <w:rFonts w:hint="eastAsia" w:ascii="宋体" w:hAnsi="宋体" w:eastAsia="宋体" w:cs="宋体"/>
                <w:sz w:val="18"/>
                <w:szCs w:val="18"/>
              </w:rPr>
              <w:t>n≤40（kW）</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室内型</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≤58</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60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室外型</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≤61</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63</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模块炉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≤64</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66</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4"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40＜</w:t>
            </w:r>
            <w:r>
              <w:rPr>
                <w:rFonts w:hint="eastAsia" w:ascii="宋体" w:hAnsi="宋体" w:eastAsia="宋体" w:cs="宋体"/>
                <w:i/>
                <w:iCs/>
                <w:sz w:val="18"/>
                <w:szCs w:val="18"/>
              </w:rPr>
              <w:t>Ф</w:t>
            </w:r>
            <w:r>
              <w:rPr>
                <w:rFonts w:hint="eastAsia" w:ascii="宋体" w:hAnsi="宋体" w:eastAsia="宋体" w:cs="宋体"/>
                <w:sz w:val="18"/>
                <w:szCs w:val="18"/>
              </w:rPr>
              <w:t>n≤70（kW）</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室内型</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≤60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63</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室外型</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≤64</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66</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模块炉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≤68</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70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70＜</w:t>
            </w:r>
            <w:r>
              <w:rPr>
                <w:rFonts w:hint="eastAsia" w:ascii="宋体" w:hAnsi="宋体" w:eastAsia="宋体" w:cs="宋体"/>
                <w:i/>
                <w:iCs/>
                <w:sz w:val="18"/>
                <w:szCs w:val="18"/>
              </w:rPr>
              <w:t>Ф</w:t>
            </w:r>
            <w:r>
              <w:rPr>
                <w:rFonts w:hint="eastAsia" w:ascii="宋体" w:hAnsi="宋体" w:eastAsia="宋体" w:cs="宋体"/>
                <w:sz w:val="18"/>
                <w:szCs w:val="18"/>
              </w:rPr>
              <w:t>n＜100（kW）</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室内型</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≤63</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65</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室外型</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≤68</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70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模块炉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≤73</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75</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910" w:type="pct"/>
            <w:gridSpan w:val="3"/>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干烟气中NOx排放限定值/（mg/kW·h）</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大气式燃烧</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≤140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bookmarkStart w:id="15" w:name="OLE_LINK13"/>
            <w:r>
              <w:rPr>
                <w:rFonts w:hint="eastAsia" w:ascii="宋体" w:hAnsi="宋体" w:eastAsia="宋体" w:cs="宋体"/>
                <w:spacing w:val="0"/>
                <w:sz w:val="18"/>
                <w:szCs w:val="18"/>
                <w:shd w:val="clear" w:color="auto" w:fill="auto"/>
                <w:lang w:eastAsia="zh-CN"/>
              </w:rPr>
              <w:t>GB 25034-2020附录</w:t>
            </w:r>
            <w:r>
              <w:rPr>
                <w:rFonts w:hint="eastAsia" w:ascii="宋体" w:hAnsi="宋体" w:eastAsia="宋体" w:cs="宋体"/>
                <w:spacing w:val="0"/>
                <w:sz w:val="18"/>
                <w:szCs w:val="18"/>
                <w:shd w:val="clear" w:color="auto" w:fill="auto"/>
                <w:lang w:val="en-US" w:eastAsia="zh-CN"/>
              </w:rPr>
              <w:t>H中表H.1的3级上限值为150</w:t>
            </w:r>
            <w:bookmarkEnd w:id="15"/>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优于</w:t>
            </w:r>
            <w:r>
              <w:rPr>
                <w:rFonts w:hint="eastAsia" w:ascii="宋体" w:hAnsi="宋体" w:eastAsia="宋体" w:cs="宋体"/>
                <w:spacing w:val="0"/>
                <w:sz w:val="18"/>
                <w:szCs w:val="18"/>
                <w:shd w:val="clear" w:color="auto" w:fill="auto"/>
                <w:lang w:val="en-US" w:eastAsia="zh-CN"/>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910" w:type="pct"/>
            <w:gridSpan w:val="3"/>
            <w:vMerge w:val="continue"/>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全预混燃烧</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≤30</w:t>
            </w:r>
          </w:p>
        </w:tc>
        <w:tc>
          <w:tcPr>
            <w:tcW w:w="815"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GB 25034-2020附录</w:t>
            </w:r>
            <w:r>
              <w:rPr>
                <w:rFonts w:hint="eastAsia" w:ascii="宋体" w:hAnsi="宋体" w:eastAsia="宋体" w:cs="宋体"/>
                <w:spacing w:val="0"/>
                <w:sz w:val="18"/>
                <w:szCs w:val="18"/>
                <w:shd w:val="clear" w:color="auto" w:fill="auto"/>
                <w:lang w:val="en-US" w:eastAsia="zh-CN"/>
              </w:rPr>
              <w:t>H中表H.1的5级上限值为60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优于</w:t>
            </w:r>
            <w:r>
              <w:rPr>
                <w:rFonts w:hint="eastAsia" w:ascii="宋体" w:hAnsi="宋体" w:eastAsia="宋体" w:cs="宋体"/>
                <w:spacing w:val="0"/>
                <w:sz w:val="18"/>
                <w:szCs w:val="18"/>
                <w:shd w:val="clear" w:color="auto" w:fill="auto"/>
                <w:lang w:val="en-US" w:eastAsia="zh-CN"/>
              </w:rPr>
              <w:t>5级</w:t>
            </w:r>
            <w:r>
              <w:rPr>
                <w:rFonts w:hint="eastAsia" w:ascii="宋体" w:hAnsi="宋体" w:cs="宋体"/>
                <w:spacing w:val="0"/>
                <w:sz w:val="18"/>
                <w:szCs w:val="18"/>
                <w:shd w:val="clear" w:color="auto" w:fill="auto"/>
                <w:lang w:val="en-US" w:eastAsia="zh-CN"/>
              </w:rPr>
              <w:t>（最高级）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表面温升/K</w:t>
            </w:r>
          </w:p>
        </w:tc>
        <w:tc>
          <w:tcPr>
            <w:tcW w:w="433" w:type="pct"/>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调节和控制装置中必需接触的部位</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金属件和玻璃摸屏</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≤25</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35</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瓷件</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≤35</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45</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塑料件</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≤40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60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侧面、前面</w:t>
            </w: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非冷凝炉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≤40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80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433" w:type="pct"/>
            <w:vMerge w:val="continue"/>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p>
        </w:tc>
        <w:tc>
          <w:tcPr>
            <w:tcW w:w="719" w:type="pct"/>
            <w:gridSpan w:val="2"/>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冷凝炉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en-US" w:bidi="ar-SA"/>
              </w:rPr>
            </w:pPr>
            <w:r>
              <w:rPr>
                <w:rFonts w:hint="eastAsia" w:ascii="宋体" w:hAnsi="宋体" w:eastAsia="宋体" w:cs="宋体"/>
                <w:sz w:val="18"/>
                <w:szCs w:val="18"/>
              </w:rPr>
              <w:t>≤40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80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1153" w:type="pct"/>
            <w:gridSpan w:val="3"/>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顶部</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rPr>
            </w:pPr>
            <w:r>
              <w:rPr>
                <w:rFonts w:hint="eastAsia" w:ascii="宋体" w:hAnsi="宋体" w:eastAsia="宋体" w:cs="宋体"/>
                <w:sz w:val="18"/>
                <w:szCs w:val="18"/>
              </w:rPr>
              <w:t>≤60</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80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4"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476" w:type="pct"/>
            <w:gridSpan w:val="2"/>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p>
        </w:tc>
        <w:tc>
          <w:tcPr>
            <w:tcW w:w="1153" w:type="pct"/>
            <w:gridSpan w:val="3"/>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测试板和安装板</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rPr>
            </w:pPr>
            <w:r>
              <w:rPr>
                <w:rFonts w:hint="eastAsia" w:ascii="宋体" w:hAnsi="宋体" w:eastAsia="宋体" w:cs="宋体"/>
                <w:sz w:val="18"/>
                <w:szCs w:val="18"/>
              </w:rPr>
              <w:t>≤55</w:t>
            </w:r>
          </w:p>
        </w:tc>
        <w:tc>
          <w:tcPr>
            <w:tcW w:w="815" w:type="pct"/>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w:t>
            </w:r>
            <w:r>
              <w:rPr>
                <w:rFonts w:hint="eastAsia" w:ascii="宋体" w:hAnsi="宋体" w:cs="宋体"/>
                <w:sz w:val="18"/>
                <w:szCs w:val="18"/>
                <w:lang w:val="en-US" w:eastAsia="zh-CN"/>
              </w:rPr>
              <w:t>80</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1630" w:type="pct"/>
            <w:gridSpan w:val="5"/>
            <w:shd w:val="clear" w:color="auto" w:fill="auto"/>
            <w:vAlign w:val="center"/>
          </w:tcPr>
          <w:p>
            <w:pPr>
              <w:pStyle w:val="44"/>
              <w:ind w:left="125" w:leftChars="0" w:right="108" w:righ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远程控制</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rPr>
            </w:pPr>
            <w:r>
              <w:rPr>
                <w:rFonts w:hint="eastAsia" w:ascii="宋体" w:hAnsi="宋体" w:eastAsia="宋体" w:cs="宋体"/>
                <w:sz w:val="18"/>
              </w:rPr>
              <w:t>用户可以对使用功能进行远程调节</w:t>
            </w:r>
            <w:r>
              <w:rPr>
                <w:rFonts w:hint="eastAsia" w:ascii="宋体" w:hAnsi="宋体" w:eastAsia="宋体" w:cs="宋体"/>
                <w:sz w:val="18"/>
                <w:lang w:eastAsia="zh-CN"/>
              </w:rPr>
              <w:t>，且应符合</w:t>
            </w:r>
            <w:bookmarkStart w:id="16" w:name="OLE_LINK14"/>
            <w:bookmarkStart w:id="17" w:name="OLE_LINK11"/>
            <w:r>
              <w:rPr>
                <w:rFonts w:hint="eastAsia" w:ascii="宋体" w:hAnsi="宋体" w:eastAsia="宋体" w:cs="宋体"/>
                <w:sz w:val="18"/>
              </w:rPr>
              <w:t>GB 25034</w:t>
            </w:r>
            <w:r>
              <w:rPr>
                <w:rFonts w:hint="eastAsia" w:ascii="宋体" w:hAnsi="宋体" w:eastAsia="宋体" w:cs="宋体"/>
                <w:sz w:val="18"/>
                <w:lang w:eastAsia="zh-CN"/>
              </w:rPr>
              <w:t>—</w:t>
            </w:r>
            <w:r>
              <w:rPr>
                <w:rFonts w:hint="eastAsia" w:ascii="宋体" w:hAnsi="宋体" w:eastAsia="宋体" w:cs="宋体"/>
                <w:sz w:val="18"/>
              </w:rPr>
              <w:t>2020</w:t>
            </w:r>
            <w:bookmarkEnd w:id="16"/>
            <w:bookmarkStart w:id="18" w:name="OLE_LINK8"/>
            <w:r>
              <w:rPr>
                <w:rFonts w:hint="eastAsia" w:ascii="宋体" w:hAnsi="宋体" w:eastAsia="宋体" w:cs="宋体"/>
                <w:sz w:val="18"/>
                <w:lang w:eastAsia="zh-CN"/>
              </w:rPr>
              <w:t>中</w:t>
            </w:r>
            <w:bookmarkEnd w:id="17"/>
            <w:r>
              <w:rPr>
                <w:rFonts w:hint="eastAsia" w:ascii="宋体" w:hAnsi="宋体" w:eastAsia="宋体" w:cs="宋体"/>
                <w:sz w:val="18"/>
                <w:lang w:val="en-US" w:eastAsia="zh-CN"/>
              </w:rPr>
              <w:t>5.4的要求</w:t>
            </w:r>
            <w:bookmarkEnd w:id="18"/>
          </w:p>
        </w:tc>
        <w:tc>
          <w:tcPr>
            <w:tcW w:w="815" w:type="pct"/>
            <w:vAlign w:val="center"/>
          </w:tcPr>
          <w:p>
            <w:pPr>
              <w:keepNext w:val="0"/>
              <w:keepLines w:val="0"/>
              <w:pageBreakBefore w:val="0"/>
              <w:kinsoku/>
              <w:wordWrap/>
              <w:overflowPunct/>
              <w:topLinePunct w:val="0"/>
              <w:bidi w:val="0"/>
              <w:jc w:val="both"/>
              <w:textAlignment w:val="auto"/>
              <w:rPr>
                <w:rFonts w:hint="eastAsia" w:ascii="宋体" w:hAnsi="宋体" w:eastAsia="宋体" w:cs="宋体"/>
                <w:spacing w:val="0"/>
                <w:sz w:val="18"/>
                <w:szCs w:val="18"/>
                <w:shd w:val="clear" w:color="auto" w:fill="auto"/>
                <w:lang w:eastAsia="zh-CN"/>
              </w:rPr>
            </w:pPr>
            <w:r>
              <w:rPr>
                <w:rFonts w:hint="eastAsia"/>
                <w:sz w:val="18"/>
                <w:lang w:eastAsia="zh-CN"/>
              </w:rPr>
              <w:t>标准中</w:t>
            </w:r>
            <w:r>
              <w:rPr>
                <w:rFonts w:hint="eastAsia"/>
                <w:sz w:val="18"/>
                <w:lang w:val="en-US" w:eastAsia="zh-CN"/>
              </w:rPr>
              <w:t>5.4的要求</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创新</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指标</w:t>
            </w:r>
          </w:p>
        </w:tc>
        <w:tc>
          <w:tcPr>
            <w:tcW w:w="514" w:type="pct"/>
            <w:vMerge w:val="restar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性能</w:t>
            </w:r>
          </w:p>
        </w:tc>
        <w:tc>
          <w:tcPr>
            <w:tcW w:w="961" w:type="pct"/>
            <w:gridSpan w:val="4"/>
            <w:vMerge w:val="restar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出热水最低温升/K</w:t>
            </w:r>
          </w:p>
        </w:tc>
        <w:tc>
          <w:tcPr>
            <w:tcW w:w="668"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非冷凝炉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≤6.0</w:t>
            </w:r>
          </w:p>
        </w:tc>
        <w:tc>
          <w:tcPr>
            <w:tcW w:w="815" w:type="pct"/>
            <w:vAlign w:val="center"/>
          </w:tcPr>
          <w:p>
            <w:pPr>
              <w:keepNext w:val="0"/>
              <w:keepLines w:val="0"/>
              <w:pageBreakBefore w:val="0"/>
              <w:kinsoku/>
              <w:wordWrap/>
              <w:overflowPunct/>
              <w:topLinePunct w:val="0"/>
              <w:bidi w:val="0"/>
              <w:adjustRightInd w:val="0"/>
              <w:snapToGrid w:val="0"/>
              <w:jc w:val="center"/>
              <w:textAlignment w:val="auto"/>
              <w:rPr>
                <w:rFonts w:hint="eastAsia"/>
                <w:sz w:val="18"/>
                <w:lang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961" w:type="pct"/>
            <w:gridSpan w:val="4"/>
            <w:vMerge w:val="continue"/>
            <w:shd w:val="clear" w:color="auto" w:fill="auto"/>
            <w:vAlign w:val="center"/>
          </w:tcPr>
          <w:p>
            <w:pPr>
              <w:pStyle w:val="44"/>
              <w:ind w:left="125" w:leftChars="0" w:right="108" w:rightChars="0"/>
              <w:jc w:val="center"/>
              <w:rPr>
                <w:rFonts w:hint="eastAsia" w:ascii="宋体" w:hAnsi="宋体" w:eastAsia="宋体" w:cs="宋体"/>
                <w:sz w:val="18"/>
                <w:szCs w:val="18"/>
              </w:rPr>
            </w:pPr>
          </w:p>
        </w:tc>
        <w:tc>
          <w:tcPr>
            <w:tcW w:w="668"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冷凝炉</w:t>
            </w:r>
          </w:p>
        </w:tc>
        <w:tc>
          <w:tcPr>
            <w:tcW w:w="1112" w:type="pct"/>
            <w:shd w:val="clear" w:color="auto" w:fill="auto"/>
            <w:vAlign w:val="center"/>
          </w:tcPr>
          <w:p>
            <w:pPr>
              <w:pStyle w:val="44"/>
              <w:ind w:left="125" w:leftChars="0" w:right="108" w:right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≤6.0</w:t>
            </w:r>
          </w:p>
        </w:tc>
        <w:tc>
          <w:tcPr>
            <w:tcW w:w="815" w:type="pct"/>
            <w:vAlign w:val="center"/>
          </w:tcPr>
          <w:p>
            <w:pPr>
              <w:keepNext w:val="0"/>
              <w:keepLines w:val="0"/>
              <w:pageBreakBefore w:val="0"/>
              <w:kinsoku/>
              <w:wordWrap/>
              <w:overflowPunct/>
              <w:topLinePunct w:val="0"/>
              <w:bidi w:val="0"/>
              <w:adjustRightInd w:val="0"/>
              <w:snapToGrid w:val="0"/>
              <w:jc w:val="center"/>
              <w:textAlignment w:val="auto"/>
              <w:rPr>
                <w:rFonts w:hint="eastAsia"/>
                <w:sz w:val="18"/>
                <w:lang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bookmarkStart w:id="19" w:name="OLE_LINK17" w:colFirst="3" w:colLast="4"/>
          </w:p>
        </w:tc>
        <w:tc>
          <w:tcPr>
            <w:tcW w:w="514" w:type="pct"/>
            <w:shd w:val="clear" w:color="auto" w:fill="auto"/>
            <w:vAlign w:val="center"/>
          </w:tcPr>
          <w:p>
            <w:pPr>
              <w:pStyle w:val="40"/>
              <w:keepNext w:val="0"/>
              <w:keepLines w:val="0"/>
              <w:pageBreakBefore w:val="0"/>
              <w:numPr>
                <w:ilvl w:val="2"/>
                <w:numId w:val="0"/>
              </w:numPr>
              <w:kinsoku/>
              <w:wordWrap/>
              <w:overflowPunct/>
              <w:topLinePunct w:val="0"/>
              <w:bidi w:val="0"/>
              <w:spacing w:beforeLines="0" w:afterLines="0"/>
              <w:ind w:leftChars="0"/>
              <w:jc w:val="center"/>
              <w:textAlignment w:val="auto"/>
              <w:rPr>
                <w:rFonts w:hint="eastAsia" w:ascii="宋体" w:hAnsi="宋体" w:eastAsia="宋体" w:cs="宋体"/>
                <w:spacing w:val="0"/>
                <w:sz w:val="18"/>
                <w:szCs w:val="18"/>
                <w:shd w:val="clear" w:color="auto" w:fill="auto"/>
                <w:lang w:eastAsia="zh-CN"/>
              </w:rPr>
            </w:pPr>
            <w:bookmarkStart w:id="20" w:name="OLE_LINK20"/>
            <w:r>
              <w:rPr>
                <w:rFonts w:hint="eastAsia" w:ascii="宋体" w:hAnsi="宋体" w:eastAsia="宋体" w:cs="宋体"/>
                <w:sz w:val="18"/>
                <w:szCs w:val="18"/>
                <w:lang w:val="en-US" w:eastAsia="zh-CN"/>
              </w:rPr>
              <w:t>气候环境适应性</w:t>
            </w:r>
            <w:bookmarkEnd w:id="20"/>
          </w:p>
        </w:tc>
        <w:tc>
          <w:tcPr>
            <w:tcW w:w="2742" w:type="pct"/>
            <w:gridSpan w:val="6"/>
            <w:vAlign w:val="center"/>
          </w:tcPr>
          <w:p>
            <w:pPr>
              <w:spacing w:before="1" w:line="278" w:lineRule="auto"/>
              <w:ind w:left="118" w:right="213" w:firstLine="420"/>
              <w:rPr>
                <w:rFonts w:hint="eastAsia" w:ascii="宋体" w:hAnsi="宋体" w:eastAsia="宋体" w:cs="宋体"/>
                <w:sz w:val="18"/>
                <w:szCs w:val="18"/>
                <w:lang w:eastAsia="zh-CN"/>
              </w:rPr>
            </w:pPr>
            <w:r>
              <w:rPr>
                <w:rFonts w:hint="eastAsia" w:ascii="宋体" w:hAnsi="宋体" w:eastAsia="宋体" w:cs="宋体"/>
                <w:spacing w:val="-1"/>
                <w:w w:val="99"/>
                <w:sz w:val="18"/>
                <w:szCs w:val="18"/>
                <w:lang w:eastAsia="zh-CN"/>
              </w:rPr>
              <w:t>样品依次经过低温、高温、恒定湿热试验后，应符合下列要求：</w:t>
            </w:r>
          </w:p>
          <w:p>
            <w:pPr>
              <w:pStyle w:val="22"/>
              <w:numPr>
                <w:ilvl w:val="0"/>
                <w:numId w:val="10"/>
              </w:numPr>
              <w:jc w:val="left"/>
              <w:rPr>
                <w:rFonts w:hint="eastAsia" w:ascii="宋体" w:hAnsi="宋体" w:eastAsia="宋体" w:cs="宋体"/>
                <w:w w:val="105"/>
                <w:sz w:val="18"/>
                <w:szCs w:val="18"/>
                <w:lang w:eastAsia="zh-CN"/>
              </w:rPr>
            </w:pPr>
            <w:r>
              <w:rPr>
                <w:rFonts w:hint="eastAsia" w:ascii="宋体" w:hAnsi="宋体" w:eastAsia="宋体" w:cs="宋体"/>
                <w:w w:val="105"/>
                <w:sz w:val="18"/>
                <w:szCs w:val="18"/>
                <w:lang w:eastAsia="zh-CN"/>
              </w:rPr>
              <w:t>性能应符合本文件要求；</w:t>
            </w:r>
          </w:p>
          <w:p>
            <w:pPr>
              <w:pStyle w:val="22"/>
              <w:numPr>
                <w:ilvl w:val="0"/>
                <w:numId w:val="10"/>
              </w:numPr>
              <w:jc w:val="left"/>
              <w:rPr>
                <w:rFonts w:hint="eastAsia" w:ascii="宋体" w:hAnsi="宋体" w:eastAsia="宋体" w:cs="宋体"/>
                <w:w w:val="105"/>
                <w:sz w:val="18"/>
                <w:szCs w:val="18"/>
                <w:lang w:eastAsia="zh-CN"/>
              </w:rPr>
            </w:pPr>
            <w:r>
              <w:rPr>
                <w:rFonts w:hint="eastAsia" w:ascii="宋体" w:hAnsi="宋体" w:eastAsia="宋体" w:cs="宋体"/>
                <w:w w:val="105"/>
                <w:sz w:val="18"/>
                <w:szCs w:val="18"/>
                <w:lang w:eastAsia="zh-CN"/>
              </w:rPr>
              <w:t>金属面板和非金属面板不应出现破裂和裂纹现象；</w:t>
            </w:r>
          </w:p>
          <w:p>
            <w:pPr>
              <w:pStyle w:val="22"/>
              <w:numPr>
                <w:ilvl w:val="0"/>
                <w:numId w:val="10"/>
              </w:numPr>
              <w:jc w:val="left"/>
              <w:rPr>
                <w:rFonts w:hint="eastAsia" w:ascii="宋体" w:hAnsi="宋体" w:eastAsia="宋体" w:cs="宋体"/>
                <w:w w:val="105"/>
                <w:sz w:val="18"/>
                <w:szCs w:val="18"/>
                <w:lang w:eastAsia="zh-CN"/>
              </w:rPr>
            </w:pPr>
            <w:r>
              <w:rPr>
                <w:rFonts w:hint="eastAsia" w:ascii="宋体" w:hAnsi="宋体" w:eastAsia="宋体" w:cs="宋体"/>
                <w:w w:val="105"/>
                <w:sz w:val="18"/>
                <w:szCs w:val="18"/>
                <w:lang w:eastAsia="zh-CN"/>
              </w:rPr>
              <w:t>表面涂层和标识标志不应有脱落、变色、起泡等异常现象；</w:t>
            </w:r>
          </w:p>
          <w:p>
            <w:pPr>
              <w:pStyle w:val="22"/>
              <w:numPr>
                <w:ilvl w:val="0"/>
                <w:numId w:val="10"/>
              </w:numPr>
              <w:jc w:val="left"/>
              <w:rPr>
                <w:rFonts w:hint="eastAsia" w:ascii="宋体" w:hAnsi="宋体" w:eastAsia="宋体" w:cs="宋体"/>
                <w:w w:val="105"/>
                <w:sz w:val="18"/>
                <w:szCs w:val="18"/>
                <w:lang w:eastAsia="zh-CN"/>
              </w:rPr>
            </w:pPr>
            <w:r>
              <w:rPr>
                <w:rFonts w:hint="eastAsia" w:ascii="宋体" w:hAnsi="宋体" w:eastAsia="宋体" w:cs="宋体"/>
                <w:w w:val="105"/>
                <w:sz w:val="18"/>
                <w:szCs w:val="18"/>
                <w:lang w:eastAsia="zh-CN"/>
              </w:rPr>
              <w:t>机械部件不应有卡死、不灵活等现象；</w:t>
            </w:r>
          </w:p>
          <w:p>
            <w:pPr>
              <w:pStyle w:val="22"/>
              <w:numPr>
                <w:ilvl w:val="0"/>
                <w:numId w:val="10"/>
              </w:numPr>
              <w:jc w:val="left"/>
              <w:rPr>
                <w:rFonts w:hint="eastAsia" w:ascii="宋体" w:hAnsi="宋体" w:eastAsia="宋体" w:cs="宋体"/>
                <w:spacing w:val="0"/>
                <w:sz w:val="18"/>
                <w:szCs w:val="18"/>
                <w:shd w:val="clear" w:color="auto" w:fill="auto"/>
                <w:lang w:eastAsia="zh-CN"/>
              </w:rPr>
            </w:pPr>
            <w:r>
              <w:rPr>
                <w:rFonts w:hint="eastAsia" w:ascii="宋体" w:hAnsi="宋体" w:eastAsia="宋体" w:cs="宋体"/>
                <w:w w:val="105"/>
                <w:sz w:val="18"/>
                <w:szCs w:val="18"/>
                <w:lang w:eastAsia="zh-CN"/>
              </w:rPr>
              <w:t>使用触摸按键或其它智能化的器具，试验过程中和试验后，不应有失效、死机、灵敏度降低等影响使用的现象；</w:t>
            </w:r>
          </w:p>
          <w:p>
            <w:pPr>
              <w:pStyle w:val="22"/>
              <w:numPr>
                <w:ilvl w:val="0"/>
                <w:numId w:val="10"/>
              </w:numPr>
              <w:jc w:val="left"/>
              <w:rPr>
                <w:rFonts w:hint="eastAsia" w:ascii="宋体" w:hAnsi="宋体" w:eastAsia="宋体" w:cs="宋体"/>
                <w:spacing w:val="0"/>
                <w:sz w:val="18"/>
                <w:szCs w:val="18"/>
                <w:shd w:val="clear" w:color="auto" w:fill="auto"/>
                <w:lang w:eastAsia="zh-CN"/>
              </w:rPr>
            </w:pPr>
            <w:r>
              <w:rPr>
                <w:rFonts w:hint="eastAsia" w:ascii="宋体" w:hAnsi="宋体" w:eastAsia="宋体" w:cs="宋体"/>
                <w:w w:val="105"/>
                <w:sz w:val="18"/>
                <w:szCs w:val="18"/>
                <w:lang w:eastAsia="zh-CN"/>
              </w:rPr>
              <w:t>采用粘接方式固定的零部件，不应有脱落或松动现象。</w:t>
            </w:r>
          </w:p>
        </w:tc>
        <w:tc>
          <w:tcPr>
            <w:tcW w:w="815"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bookmarkStart w:id="21" w:name="OLE_LINK3" w:colFirst="3" w:colLast="4"/>
          </w:p>
        </w:tc>
        <w:tc>
          <w:tcPr>
            <w:tcW w:w="514" w:type="pct"/>
            <w:shd w:val="clear" w:color="auto" w:fill="auto"/>
            <w:vAlign w:val="center"/>
          </w:tcPr>
          <w:p>
            <w:pPr>
              <w:pStyle w:val="40"/>
              <w:keepNext w:val="0"/>
              <w:keepLines w:val="0"/>
              <w:pageBreakBefore w:val="0"/>
              <w:numPr>
                <w:ilvl w:val="2"/>
                <w:numId w:val="0"/>
              </w:numPr>
              <w:kinsoku/>
              <w:wordWrap/>
              <w:overflowPunct/>
              <w:topLinePunct w:val="0"/>
              <w:bidi w:val="0"/>
              <w:spacing w:beforeLines="0" w:afterLines="0"/>
              <w:ind w:leftChars="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限用物质</w:t>
            </w:r>
          </w:p>
        </w:tc>
        <w:tc>
          <w:tcPr>
            <w:tcW w:w="2742" w:type="pct"/>
            <w:gridSpan w:val="6"/>
            <w:vAlign w:val="center"/>
          </w:tcPr>
          <w:p>
            <w:pPr>
              <w:keepNext w:val="0"/>
              <w:keepLines w:val="0"/>
              <w:pageBreakBefore w:val="0"/>
              <w:widowControl/>
              <w:kinsoku/>
              <w:wordWrap/>
              <w:overflowPunct/>
              <w:topLinePunct w:val="0"/>
              <w:autoSpaceDE/>
              <w:autoSpaceDN/>
              <w:bidi w:val="0"/>
              <w:adjustRightInd/>
              <w:snapToGrid/>
              <w:ind w:firstLine="360" w:firstLineChars="200"/>
              <w:jc w:val="left"/>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sz w:val="18"/>
                <w:szCs w:val="18"/>
              </w:rPr>
              <w:t>应符合GB/T 26572的要求</w:t>
            </w:r>
          </w:p>
        </w:tc>
        <w:tc>
          <w:tcPr>
            <w:tcW w:w="815"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5000" w:type="pct"/>
            <w:gridSpan w:val="10"/>
            <w:shd w:val="clear" w:color="auto" w:fill="auto"/>
            <w:vAlign w:val="center"/>
          </w:tcPr>
          <w:p>
            <w:pPr>
              <w:keepNext w:val="0"/>
              <w:keepLines w:val="0"/>
              <w:pageBreakBefore w:val="0"/>
              <w:kinsoku/>
              <w:wordWrap/>
              <w:overflowPunct/>
              <w:topLinePunct w:val="0"/>
              <w:bidi w:val="0"/>
              <w:adjustRightInd w:val="0"/>
              <w:snapToGrid w:val="0"/>
              <w:jc w:val="both"/>
              <w:textAlignment w:val="auto"/>
              <w:rPr>
                <w:rFonts w:hint="default" w:ascii="宋体" w:hAnsi="宋体" w:eastAsia="宋体" w:cs="宋体"/>
                <w:spacing w:val="0"/>
                <w:sz w:val="18"/>
                <w:szCs w:val="18"/>
                <w:shd w:val="clear" w:color="auto" w:fill="auto"/>
                <w:lang w:val="en-US" w:eastAsia="zh-CN"/>
              </w:rPr>
            </w:pPr>
            <w:r>
              <w:rPr>
                <w:rFonts w:hint="eastAsia"/>
                <w:sz w:val="18"/>
                <w:lang w:val="en-US" w:eastAsia="zh-CN"/>
              </w:rPr>
              <w:t>注：</w:t>
            </w:r>
            <w:bookmarkStart w:id="22" w:name="OLE_LINK19"/>
            <w:bookmarkStart w:id="23" w:name="OLE_LINK21"/>
            <w:r>
              <w:rPr>
                <w:i/>
                <w:iCs/>
                <w:sz w:val="18"/>
              </w:rPr>
              <w:t>η</w:t>
            </w:r>
            <w:r>
              <w:rPr>
                <w:sz w:val="18"/>
                <w:vertAlign w:val="subscript"/>
              </w:rPr>
              <w:t>1</w:t>
            </w:r>
            <w:r>
              <w:rPr>
                <w:rFonts w:hint="eastAsia"/>
                <w:sz w:val="18"/>
                <w:vertAlign w:val="subscript"/>
                <w:lang w:val="en-US" w:eastAsia="zh-CN"/>
              </w:rPr>
              <w:t xml:space="preserve"> </w:t>
            </w:r>
            <w:bookmarkEnd w:id="22"/>
            <w:r>
              <w:rPr>
                <w:rFonts w:hint="eastAsia"/>
                <w:sz w:val="18"/>
                <w:vertAlign w:val="baseline"/>
                <w:lang w:val="en-US" w:eastAsia="zh-CN"/>
              </w:rPr>
              <w:t>为额定热负荷状态，</w:t>
            </w:r>
            <w:r>
              <w:rPr>
                <w:i/>
                <w:iCs/>
                <w:sz w:val="18"/>
              </w:rPr>
              <w:t>η</w:t>
            </w:r>
            <w:r>
              <w:rPr>
                <w:rFonts w:hint="eastAsia"/>
                <w:sz w:val="18"/>
                <w:vertAlign w:val="subscript"/>
                <w:lang w:val="en-US" w:eastAsia="zh-CN"/>
              </w:rPr>
              <w:t>2</w:t>
            </w:r>
            <w:r>
              <w:rPr>
                <w:rFonts w:hint="eastAsia"/>
                <w:sz w:val="18"/>
                <w:vertAlign w:val="baseline"/>
                <w:lang w:val="en-US" w:eastAsia="zh-CN"/>
              </w:rPr>
              <w:t>为部分/最小热负荷状态。</w:t>
            </w:r>
            <w:bookmarkEnd w:id="23"/>
          </w:p>
        </w:tc>
      </w:tr>
      <w:bookmarkEnd w:id="21"/>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24" w:name="_Hlk161677665"/>
      <w:r>
        <w:rPr>
          <w:rFonts w:hint="eastAsia" w:ascii="仿宋" w:hAnsi="仿宋" w:eastAsia="仿宋" w:cs="仿宋"/>
          <w:bCs/>
          <w:sz w:val="28"/>
          <w:szCs w:val="28"/>
          <w:lang w:val="zh-CN" w:eastAsia="zh-CN"/>
        </w:rPr>
        <w:t>1）表面温升等安全指标：反映产品的使用安全卫生要求。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理由说明：采暖炉的各表面温升，是产品的使用安全性能指标，直接关系到消费者的使用安全和社会安全。</w:t>
      </w:r>
      <w:r>
        <w:rPr>
          <w:rFonts w:hint="eastAsia" w:ascii="仿宋" w:hAnsi="仿宋" w:eastAsia="仿宋" w:cs="仿宋"/>
          <w:bCs/>
          <w:sz w:val="28"/>
          <w:szCs w:val="28"/>
          <w:lang w:val="zh-CN" w:eastAsia="zh-CN"/>
        </w:rPr>
        <w:t>温升指标的优于国标要求，需要从产品设计、结构、用料、制造等各方面进行综合控制才能达到，故温升指标也是产品先进性的体现，也是其它先进性指标具有可行性的前提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r>
        <w:rPr>
          <w:rFonts w:hint="eastAsia" w:ascii="仿宋" w:hAnsi="仿宋" w:eastAsia="仿宋" w:cs="仿宋"/>
          <w:bCs/>
          <w:sz w:val="28"/>
          <w:szCs w:val="28"/>
          <w:lang w:val="zh-CN" w:eastAsia="zh-CN"/>
        </w:rPr>
        <w:t>热效率、加热时间、噪声、出热水最低温升、</w:t>
      </w:r>
      <w:r>
        <w:rPr>
          <w:rFonts w:hint="eastAsia" w:ascii="仿宋" w:hAnsi="仿宋" w:eastAsia="仿宋" w:cs="仿宋"/>
          <w:bCs/>
          <w:sz w:val="28"/>
          <w:szCs w:val="28"/>
          <w:lang w:val="en-US" w:eastAsia="zh-CN"/>
        </w:rPr>
        <w:t>气候环境适应性</w:t>
      </w:r>
      <w:r>
        <w:rPr>
          <w:rFonts w:hint="eastAsia" w:ascii="仿宋" w:hAnsi="仿宋" w:eastAsia="仿宋" w:cs="仿宋"/>
          <w:bCs/>
          <w:sz w:val="28"/>
          <w:szCs w:val="28"/>
          <w:lang w:val="zh-CN" w:eastAsia="zh-CN"/>
        </w:rPr>
        <w:t>等技术指标</w:t>
      </w:r>
      <w:r>
        <w:rPr>
          <w:rFonts w:hint="eastAsia" w:ascii="仿宋" w:hAnsi="仿宋" w:eastAsia="仿宋" w:cs="仿宋"/>
          <w:bCs/>
          <w:sz w:val="28"/>
          <w:szCs w:val="28"/>
          <w:lang w:val="en-US" w:eastAsia="zh-CN"/>
        </w:rPr>
        <w:t>：</w:t>
      </w:r>
      <w:r>
        <w:rPr>
          <w:rFonts w:hint="eastAsia" w:ascii="仿宋" w:hAnsi="仿宋" w:eastAsia="仿宋" w:cs="仿宋"/>
          <w:bCs/>
          <w:sz w:val="28"/>
          <w:szCs w:val="28"/>
          <w:lang w:val="zh-CN" w:eastAsia="zh-CN"/>
        </w:rPr>
        <w:t>反映产品结构、材料和绝热及运行功能和可靠性优良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w:t>
      </w:r>
      <w:r>
        <w:rPr>
          <w:rFonts w:hint="eastAsia" w:ascii="仿宋" w:hAnsi="仿宋" w:eastAsia="仿宋" w:cs="仿宋"/>
          <w:bCs/>
          <w:sz w:val="28"/>
          <w:szCs w:val="28"/>
          <w:lang w:val="zh-CN" w:eastAsia="zh-CN"/>
        </w:rPr>
        <w:t>热效率、加热时间、噪声、出热水最低温升、</w:t>
      </w:r>
      <w:r>
        <w:rPr>
          <w:rFonts w:hint="eastAsia" w:ascii="仿宋" w:hAnsi="仿宋" w:eastAsia="仿宋" w:cs="仿宋"/>
          <w:bCs/>
          <w:sz w:val="28"/>
          <w:szCs w:val="28"/>
          <w:lang w:val="en-US" w:eastAsia="zh-CN"/>
        </w:rPr>
        <w:t>气候环境适应性</w:t>
      </w:r>
      <w:r>
        <w:rPr>
          <w:rFonts w:hint="eastAsia" w:ascii="仿宋" w:hAnsi="仿宋" w:eastAsia="仿宋" w:cs="仿宋"/>
          <w:bCs/>
          <w:sz w:val="28"/>
          <w:szCs w:val="28"/>
          <w:lang w:val="zh-CN" w:eastAsia="zh-CN"/>
        </w:rPr>
        <w:t>等技术指标</w:t>
      </w:r>
      <w:r>
        <w:rPr>
          <w:rFonts w:hint="eastAsia" w:ascii="仿宋" w:hAnsi="仿宋" w:eastAsia="仿宋" w:cs="仿宋"/>
          <w:bCs/>
          <w:sz w:val="28"/>
          <w:szCs w:val="28"/>
          <w:lang w:val="en-US" w:eastAsia="zh-CN"/>
        </w:rPr>
        <w:t>，直接关系到产品的节能、用户体验、可靠性等要求，是消费者最关心的重要指标，是企业提高市场竞争力的核心，是采暖炉产品技术提升的难点和痛点，也是佛山市采暖炉能占据国内外市场的法宝。这些性能指标的提高并优于或新增于国标，将为促进佛山市采暖炉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6"/>
        <w:ind w:firstLine="560"/>
        <w:rPr>
          <w:rFonts w:ascii="仿宋" w:hAnsi="仿宋" w:eastAsia="仿宋" w:cs="仿宋"/>
          <w:bCs/>
          <w:sz w:val="28"/>
          <w:szCs w:val="28"/>
        </w:rPr>
      </w:pPr>
      <w:bookmarkStart w:id="25" w:name="_Hlk161676697"/>
      <w:r>
        <w:rPr>
          <w:rFonts w:hint="eastAsia" w:ascii="仿宋" w:hAnsi="仿宋" w:eastAsia="仿宋" w:cs="仿宋"/>
          <w:bCs/>
          <w:sz w:val="28"/>
          <w:szCs w:val="28"/>
          <w:lang w:val="en-US" w:eastAsia="zh-CN"/>
        </w:rPr>
        <w:t>3）</w:t>
      </w:r>
      <w:r>
        <w:rPr>
          <w:rFonts w:hint="eastAsia" w:ascii="仿宋" w:hAnsi="仿宋" w:eastAsia="仿宋" w:cs="仿宋"/>
          <w:bCs/>
          <w:sz w:val="28"/>
          <w:szCs w:val="28"/>
          <w:lang w:eastAsia="zh-CN"/>
        </w:rPr>
        <w:t>远程控制性能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高</w:t>
      </w:r>
      <w:r>
        <w:rPr>
          <w:rFonts w:hint="eastAsia" w:ascii="仿宋" w:hAnsi="仿宋" w:eastAsia="仿宋" w:cs="仿宋"/>
          <w:bCs/>
          <w:sz w:val="28"/>
          <w:szCs w:val="28"/>
        </w:rPr>
        <w:t>质量性</w:t>
      </w:r>
      <w:r>
        <w:rPr>
          <w:rFonts w:hint="eastAsia" w:ascii="仿宋" w:hAnsi="仿宋" w:eastAsia="仿宋" w:cs="仿宋"/>
          <w:bCs/>
          <w:sz w:val="28"/>
          <w:szCs w:val="28"/>
          <w:lang w:eastAsia="zh-CN"/>
        </w:rPr>
        <w:t>和前瞻性</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w:t>
      </w:r>
      <w:bookmarkEnd w:id="25"/>
      <w:r>
        <w:rPr>
          <w:rFonts w:hint="eastAsia" w:ascii="仿宋" w:hAnsi="仿宋" w:eastAsia="仿宋" w:cs="仿宋"/>
          <w:bCs/>
          <w:sz w:val="28"/>
          <w:szCs w:val="28"/>
          <w:lang w:eastAsia="zh-CN"/>
        </w:rPr>
        <w:t>远程化控制性能是产品智能化的体现。产品智能化是国家产品更新换代和高质量产品要求的重要内容，是国家在十四五规范中重要产品发展和标准化方向，是国家高质量发展和新质生产力发展的重要内容，集中反映出产品的高质量性和前瞻性，为产品的高质量发展提供了动力</w:t>
      </w:r>
      <w:r>
        <w:rPr>
          <w:rFonts w:hint="eastAsia" w:ascii="仿宋" w:hAnsi="仿宋" w:eastAsia="仿宋" w:cs="仿宋"/>
          <w:bCs/>
          <w:sz w:val="28"/>
          <w:szCs w:val="28"/>
        </w:rPr>
        <w:t>。</w:t>
      </w:r>
    </w:p>
    <w:p>
      <w:pPr>
        <w:pStyle w:val="16"/>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4</w:t>
      </w:r>
      <w:r>
        <w:rPr>
          <w:rFonts w:hint="eastAsia" w:ascii="仿宋" w:hAnsi="仿宋" w:eastAsia="仿宋" w:cs="仿宋"/>
          <w:bCs/>
          <w:sz w:val="28"/>
          <w:szCs w:val="28"/>
        </w:rPr>
        <w:t>）</w:t>
      </w:r>
      <w:r>
        <w:rPr>
          <w:rFonts w:hint="eastAsia" w:ascii="仿宋" w:hAnsi="仿宋" w:eastAsia="仿宋" w:cs="仿宋"/>
          <w:bCs/>
          <w:sz w:val="28"/>
          <w:szCs w:val="28"/>
          <w:lang w:eastAsia="zh-CN"/>
        </w:rPr>
        <w:t>CO含量、干烟气中NOx排放限定值、限用物质</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绿色</w:t>
      </w:r>
      <w:r>
        <w:rPr>
          <w:rFonts w:hint="eastAsia" w:ascii="仿宋" w:hAnsi="仿宋" w:eastAsia="仿宋" w:cs="仿宋"/>
          <w:bCs/>
          <w:sz w:val="28"/>
          <w:szCs w:val="28"/>
        </w:rPr>
        <w:t>环保属性要求。</w:t>
      </w:r>
    </w:p>
    <w:bookmarkEnd w:id="24"/>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随着消费者对环保和健康的关注度不断提高，具备低有害物质含量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CO含量、干烟气中NOx排放限定值、限用物质</w:t>
      </w:r>
      <w:r>
        <w:rPr>
          <w:rFonts w:hint="eastAsia" w:ascii="仿宋" w:hAnsi="仿宋" w:eastAsia="仿宋" w:cs="仿宋"/>
          <w:bCs/>
          <w:sz w:val="28"/>
          <w:szCs w:val="28"/>
          <w:lang w:val="en-US" w:eastAsia="zh-CN"/>
        </w:rPr>
        <w:t>等技术指标，直接与产品全生命周期使用中对环境的影响，是国家绿色环保政策要求的直接体现，同样也是企业提高市场竞争力的核心，是采暖炉产品技术提升的难点和痛点，对促进企业的市场品牌效应提升和采暖炉产业的发展提供支撑，也是</w:t>
      </w:r>
      <w:r>
        <w:rPr>
          <w:rFonts w:hint="eastAsia" w:ascii="仿宋" w:hAnsi="仿宋" w:eastAsia="仿宋" w:cs="仿宋"/>
          <w:bCs/>
          <w:sz w:val="28"/>
          <w:szCs w:val="28"/>
          <w:lang w:eastAsia="zh-CN"/>
        </w:rPr>
        <w:t>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采暖炉》标准研制工作组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3FEF959"/>
    <w:multiLevelType w:val="multilevel"/>
    <w:tmpl w:val="63FEF95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6FC930AC"/>
    <w:multiLevelType w:val="multilevel"/>
    <w:tmpl w:val="6FC930AC"/>
    <w:lvl w:ilvl="0" w:tentative="0">
      <w:start w:val="1"/>
      <w:numFmt w:val="decimal"/>
      <w:pStyle w:val="43"/>
      <w:suff w:val="nothing"/>
      <w:lvlText w:val="%1　"/>
      <w:lvlJc w:val="left"/>
      <w:pPr>
        <w:ind w:left="0" w:firstLine="0"/>
      </w:pPr>
      <w:rPr>
        <w:rFonts w:hint="eastAsia" w:ascii="黑体" w:hAnsi="黑体" w:eastAsia="黑体"/>
        <w:sz w:val="20"/>
      </w:rPr>
    </w:lvl>
    <w:lvl w:ilvl="1" w:tentative="0">
      <w:start w:val="1"/>
      <w:numFmt w:val="decimal"/>
      <w:pStyle w:val="42"/>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pStyle w:val="41"/>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6"/>
  </w:num>
  <w:num w:numId="5">
    <w:abstractNumId w:val="4"/>
  </w:num>
  <w:num w:numId="6">
    <w:abstractNumId w:val="8"/>
  </w:num>
  <w:num w:numId="7">
    <w:abstractNumId w:val="7"/>
  </w:num>
  <w:num w:numId="8">
    <w:abstractNumId w:val="0"/>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44A0142"/>
    <w:rsid w:val="06E75409"/>
    <w:rsid w:val="073B51B7"/>
    <w:rsid w:val="0797103D"/>
    <w:rsid w:val="0B3704B4"/>
    <w:rsid w:val="0C7327EB"/>
    <w:rsid w:val="0C8063E7"/>
    <w:rsid w:val="0C9F7A36"/>
    <w:rsid w:val="0CAC517A"/>
    <w:rsid w:val="0CE972B8"/>
    <w:rsid w:val="0DB03D55"/>
    <w:rsid w:val="0EB86E27"/>
    <w:rsid w:val="10F93F06"/>
    <w:rsid w:val="12DC05B5"/>
    <w:rsid w:val="1450231E"/>
    <w:rsid w:val="15B80698"/>
    <w:rsid w:val="172F2F59"/>
    <w:rsid w:val="17534CEC"/>
    <w:rsid w:val="179D1EDB"/>
    <w:rsid w:val="1A9637AF"/>
    <w:rsid w:val="1BDE13C1"/>
    <w:rsid w:val="1C8E7BC6"/>
    <w:rsid w:val="1CE47554"/>
    <w:rsid w:val="1CF90154"/>
    <w:rsid w:val="1ECF370F"/>
    <w:rsid w:val="208D2895"/>
    <w:rsid w:val="220B6B38"/>
    <w:rsid w:val="25C82A4C"/>
    <w:rsid w:val="26153389"/>
    <w:rsid w:val="27DD2B84"/>
    <w:rsid w:val="29581178"/>
    <w:rsid w:val="29C23C24"/>
    <w:rsid w:val="2C9456EE"/>
    <w:rsid w:val="2D00084B"/>
    <w:rsid w:val="2DA26642"/>
    <w:rsid w:val="2F172B1B"/>
    <w:rsid w:val="2F817BE3"/>
    <w:rsid w:val="30DD1B17"/>
    <w:rsid w:val="325E2F6A"/>
    <w:rsid w:val="33375694"/>
    <w:rsid w:val="339802E0"/>
    <w:rsid w:val="342A6B27"/>
    <w:rsid w:val="355F3466"/>
    <w:rsid w:val="35E018A7"/>
    <w:rsid w:val="36232246"/>
    <w:rsid w:val="37FF69FD"/>
    <w:rsid w:val="384D221C"/>
    <w:rsid w:val="388131BD"/>
    <w:rsid w:val="394D4F22"/>
    <w:rsid w:val="39C406DC"/>
    <w:rsid w:val="3A541FF7"/>
    <w:rsid w:val="3AE85EBF"/>
    <w:rsid w:val="3B231DB6"/>
    <w:rsid w:val="3C6B5B77"/>
    <w:rsid w:val="3DD07A46"/>
    <w:rsid w:val="404C56FF"/>
    <w:rsid w:val="41C77FE8"/>
    <w:rsid w:val="44122E34"/>
    <w:rsid w:val="45EC4713"/>
    <w:rsid w:val="45F762BD"/>
    <w:rsid w:val="4AB560CE"/>
    <w:rsid w:val="4DED3CD5"/>
    <w:rsid w:val="4E080B51"/>
    <w:rsid w:val="4F7C6051"/>
    <w:rsid w:val="50CB1798"/>
    <w:rsid w:val="513D70DA"/>
    <w:rsid w:val="51D71EED"/>
    <w:rsid w:val="52634A96"/>
    <w:rsid w:val="53413B53"/>
    <w:rsid w:val="538E2D0B"/>
    <w:rsid w:val="598072CA"/>
    <w:rsid w:val="5C597408"/>
    <w:rsid w:val="5CB069F1"/>
    <w:rsid w:val="5D8B6D68"/>
    <w:rsid w:val="5E465936"/>
    <w:rsid w:val="5EBC12FA"/>
    <w:rsid w:val="5F961379"/>
    <w:rsid w:val="5F9D7B88"/>
    <w:rsid w:val="5FAD1064"/>
    <w:rsid w:val="5FCF4E6E"/>
    <w:rsid w:val="603A41BB"/>
    <w:rsid w:val="612F3F66"/>
    <w:rsid w:val="65D14722"/>
    <w:rsid w:val="66DE0B02"/>
    <w:rsid w:val="679F325F"/>
    <w:rsid w:val="6835642B"/>
    <w:rsid w:val="6A475D4D"/>
    <w:rsid w:val="6AEF312F"/>
    <w:rsid w:val="6BB67446"/>
    <w:rsid w:val="6ED274D6"/>
    <w:rsid w:val="6EE72672"/>
    <w:rsid w:val="715603A1"/>
    <w:rsid w:val="719A4CC7"/>
    <w:rsid w:val="72AE00E5"/>
    <w:rsid w:val="72E8428C"/>
    <w:rsid w:val="74180B9A"/>
    <w:rsid w:val="74E4370B"/>
    <w:rsid w:val="75BD6C28"/>
    <w:rsid w:val="75E8386D"/>
    <w:rsid w:val="767A4544"/>
    <w:rsid w:val="77B0779C"/>
    <w:rsid w:val="780E5898"/>
    <w:rsid w:val="787248B0"/>
    <w:rsid w:val="79B32B63"/>
    <w:rsid w:val="7A0D7DD8"/>
    <w:rsid w:val="7AA52375"/>
    <w:rsid w:val="7C60038E"/>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标准文件_三级条标题"/>
    <w:basedOn w:val="40"/>
    <w:next w:val="38"/>
    <w:qFormat/>
    <w:uiPriority w:val="0"/>
    <w:pPr>
      <w:numPr>
        <w:ilvl w:val="3"/>
      </w:numPr>
      <w:outlineLvl w:val="3"/>
    </w:pPr>
  </w:style>
  <w:style w:type="paragraph" w:customStyle="1" w:styleId="42">
    <w:name w:val="标准文件_一级条标题"/>
    <w:basedOn w:val="43"/>
    <w:next w:val="38"/>
    <w:qFormat/>
    <w:uiPriority w:val="0"/>
    <w:pPr>
      <w:numPr>
        <w:ilvl w:val="1"/>
      </w:numPr>
      <w:spacing w:beforeLines="50" w:afterLines="50"/>
      <w:outlineLvl w:val="1"/>
    </w:pPr>
  </w:style>
  <w:style w:type="paragraph" w:customStyle="1" w:styleId="43">
    <w:name w:val="标准文件_章标题"/>
    <w:next w:val="38"/>
    <w:qFormat/>
    <w:uiPriority w:val="0"/>
    <w:pPr>
      <w:numPr>
        <w:ilvl w:val="0"/>
        <w:numId w:val="6"/>
      </w:numPr>
      <w:spacing w:beforeLines="100" w:afterLines="100"/>
      <w:jc w:val="both"/>
      <w:outlineLvl w:val="0"/>
    </w:pPr>
    <w:rPr>
      <w:rFonts w:ascii="黑体" w:hAnsi="Times New Roman" w:eastAsia="黑体" w:cstheme="minorBidi"/>
      <w:sz w:val="21"/>
      <w:lang w:val="en-US" w:eastAsia="zh-CN" w:bidi="ar-SA"/>
    </w:rPr>
  </w:style>
  <w:style w:type="paragraph" w:customStyle="1" w:styleId="44">
    <w:name w:val="Table Paragraph"/>
    <w:basedOn w:val="1"/>
    <w:qFormat/>
    <w:uiPriority w:val="1"/>
    <w:rPr>
      <w:rFonts w:hAnsi="宋体" w:cs="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9</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2025-04-28T06:59:55Z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